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30AD" w:rsidRDefault="00B530AD" w:rsidP="00B530AD">
      <w:pPr>
        <w:autoSpaceDE w:val="0"/>
        <w:autoSpaceDN w:val="0"/>
        <w:adjustRightInd w:val="0"/>
        <w:spacing w:before="227" w:after="1134" w:line="240" w:lineRule="auto"/>
        <w:jc w:val="center"/>
        <w:rPr>
          <w:rFonts w:ascii="Trebuchet MS" w:hAnsi="Trebuchet MS" w:cs="Trebuchet MS"/>
          <w:caps/>
          <w:color w:val="000000"/>
          <w:sz w:val="52"/>
          <w:szCs w:val="52"/>
          <w:highlight w:val="white"/>
        </w:rPr>
      </w:pPr>
      <w:r w:rsidRPr="00B530AD">
        <w:rPr>
          <w:rFonts w:ascii="Trebuchet MS" w:hAnsi="Trebuchet MS" w:cs="Trebuchet MS"/>
          <w:caps/>
          <w:color w:val="000000"/>
          <w:sz w:val="52"/>
          <w:szCs w:val="52"/>
          <w:highlight w:val="white"/>
        </w:rPr>
        <w:t xml:space="preserve">comune </w:t>
      </w:r>
      <w:proofErr w:type="spellStart"/>
      <w:r w:rsidRPr="00B530AD">
        <w:rPr>
          <w:rFonts w:ascii="Trebuchet MS" w:hAnsi="Trebuchet MS" w:cs="Trebuchet MS"/>
          <w:caps/>
          <w:color w:val="000000"/>
          <w:sz w:val="52"/>
          <w:szCs w:val="52"/>
          <w:highlight w:val="white"/>
        </w:rPr>
        <w:t>di</w:t>
      </w:r>
      <w:proofErr w:type="spellEnd"/>
      <w:r w:rsidRPr="00B530AD">
        <w:rPr>
          <w:rFonts w:ascii="Trebuchet MS" w:hAnsi="Trebuchet MS" w:cs="Trebuchet MS"/>
          <w:caps/>
          <w:color w:val="000000"/>
          <w:sz w:val="52"/>
          <w:szCs w:val="52"/>
          <w:highlight w:val="white"/>
        </w:rPr>
        <w:t xml:space="preserve"> san pietro in guarano</w:t>
      </w:r>
    </w:p>
    <w:p w:rsidR="00B530AD" w:rsidRPr="00B530AD" w:rsidRDefault="00B530AD" w:rsidP="00B530AD">
      <w:pPr>
        <w:autoSpaceDE w:val="0"/>
        <w:autoSpaceDN w:val="0"/>
        <w:adjustRightInd w:val="0"/>
        <w:spacing w:before="227" w:after="1134" w:line="240" w:lineRule="auto"/>
        <w:jc w:val="center"/>
        <w:rPr>
          <w:rFonts w:ascii="Trebuchet MS" w:hAnsi="Trebuchet MS" w:cs="Trebuchet MS"/>
          <w:caps/>
          <w:color w:val="000000"/>
          <w:sz w:val="52"/>
          <w:szCs w:val="52"/>
          <w:highlight w:val="white"/>
        </w:rPr>
      </w:pPr>
      <w:r>
        <w:rPr>
          <w:rFonts w:ascii="Trebuchet MS" w:hAnsi="Trebuchet MS" w:cs="Trebuchet MS"/>
          <w:caps/>
          <w:color w:val="000000"/>
          <w:sz w:val="52"/>
          <w:szCs w:val="52"/>
          <w:highlight w:val="white"/>
        </w:rPr>
        <w:t xml:space="preserve">dup </w:t>
      </w:r>
      <w:r w:rsidR="00D62B20">
        <w:rPr>
          <w:rFonts w:ascii="Trebuchet MS" w:hAnsi="Trebuchet MS" w:cs="Trebuchet MS"/>
          <w:caps/>
          <w:color w:val="000000"/>
          <w:sz w:val="52"/>
          <w:szCs w:val="52"/>
          <w:highlight w:val="white"/>
        </w:rPr>
        <w:t>2018-2020</w:t>
      </w:r>
    </w:p>
    <w:p w:rsidR="004854B0" w:rsidRPr="00B530AD" w:rsidRDefault="004854B0" w:rsidP="004854B0">
      <w:pPr>
        <w:autoSpaceDE w:val="0"/>
        <w:autoSpaceDN w:val="0"/>
        <w:adjustRightInd w:val="0"/>
        <w:spacing w:before="227" w:after="1134" w:line="240" w:lineRule="auto"/>
        <w:rPr>
          <w:rFonts w:ascii="Trebuchet MS" w:hAnsi="Trebuchet MS" w:cs="Trebuchet MS"/>
          <w:caps/>
          <w:color w:val="000000"/>
          <w:sz w:val="44"/>
          <w:szCs w:val="44"/>
          <w:highlight w:val="white"/>
        </w:rPr>
      </w:pPr>
      <w:r w:rsidRPr="00B530AD">
        <w:rPr>
          <w:rFonts w:ascii="Trebuchet MS" w:hAnsi="Trebuchet MS" w:cs="Trebuchet MS"/>
          <w:caps/>
          <w:color w:val="000000"/>
          <w:sz w:val="44"/>
          <w:szCs w:val="44"/>
          <w:highlight w:val="white"/>
        </w:rPr>
        <w:t>GUIDA ALLA LETTURA</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Il decreto legislativo 23 giugno 2011 n. 118 “</w:t>
      </w:r>
      <w:r>
        <w:rPr>
          <w:rFonts w:ascii="Trebuchet MS" w:hAnsi="Trebuchet MS" w:cs="Trebuchet MS"/>
          <w:i/>
          <w:iCs/>
          <w:sz w:val="21"/>
          <w:szCs w:val="21"/>
        </w:rPr>
        <w:t>Disposizioni in materia di armonizzazione dei sistemi contabili e degli schemi di bilancio delle Regioni, degli enti locali e dei loro organismi</w:t>
      </w:r>
      <w:r>
        <w:rPr>
          <w:rFonts w:ascii="Trebuchet MS" w:hAnsi="Trebuchet MS" w:cs="Trebuchet MS"/>
          <w:sz w:val="21"/>
          <w:szCs w:val="21"/>
        </w:rPr>
        <w:t>” ha introdotto il principio applicato della programmazione che disciplina processi, strumenti e contenuti della programmazione dei sistemi contabili delle Regioni, degli Enti Locali e dei loro organismi.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Per quanto riguarda gli strumenti della programmazione, la Relazione previsionale e programmatica prevista dall’art. 170 del TUEL (Testo unico degli Enti locali) è sostituita, quale allegato al bilancio di previsione, dal DUP: il Documento unico di programmazione "</w:t>
      </w:r>
      <w:r>
        <w:rPr>
          <w:rFonts w:ascii="Trebuchet MS" w:hAnsi="Trebuchet MS" w:cs="Trebuchet MS"/>
          <w:i/>
          <w:iCs/>
          <w:sz w:val="21"/>
          <w:szCs w:val="21"/>
        </w:rPr>
        <w:t>strumento che permette l’attività di guida strategica ed operativa degli enti locali e consente di fronteggiare in modo permanente, sistemico e unitario le discontinuità ambientali e organizzative</w:t>
      </w:r>
      <w:r>
        <w:rPr>
          <w:rFonts w:ascii="Trebuchet MS" w:hAnsi="Trebuchet MS" w:cs="Trebuchet MS"/>
          <w:sz w:val="21"/>
          <w:szCs w:val="21"/>
        </w:rPr>
        <w:t>".</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Il DUP è articolato in due sezioni: la sezione strategica (</w:t>
      </w:r>
      <w:proofErr w:type="spellStart"/>
      <w:r>
        <w:rPr>
          <w:rFonts w:ascii="Trebuchet MS" w:hAnsi="Trebuchet MS" w:cs="Trebuchet MS"/>
          <w:sz w:val="21"/>
          <w:szCs w:val="21"/>
        </w:rPr>
        <w:t>SeS</w:t>
      </w:r>
      <w:proofErr w:type="spellEnd"/>
      <w:r>
        <w:rPr>
          <w:rFonts w:ascii="Trebuchet MS" w:hAnsi="Trebuchet MS" w:cs="Trebuchet MS"/>
          <w:sz w:val="21"/>
          <w:szCs w:val="21"/>
        </w:rPr>
        <w:t>) e la sezione operativa (</w:t>
      </w:r>
      <w:proofErr w:type="spellStart"/>
      <w:r>
        <w:rPr>
          <w:rFonts w:ascii="Trebuchet MS" w:hAnsi="Trebuchet MS" w:cs="Trebuchet MS"/>
          <w:sz w:val="21"/>
          <w:szCs w:val="21"/>
        </w:rPr>
        <w:t>SeO</w:t>
      </w:r>
      <w:proofErr w:type="spellEnd"/>
      <w:r>
        <w:rPr>
          <w:rFonts w:ascii="Trebuchet MS" w:hAnsi="Trebuchet MS" w:cs="Trebuchet MS"/>
          <w:sz w:val="21"/>
          <w:szCs w:val="21"/>
        </w:rPr>
        <w:t>).</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b/>
          <w:bCs/>
          <w:sz w:val="21"/>
          <w:szCs w:val="21"/>
        </w:rPr>
      </w:pPr>
      <w:r>
        <w:rPr>
          <w:rFonts w:ascii="Trebuchet MS" w:hAnsi="Trebuchet MS" w:cs="Trebuchet MS"/>
          <w:b/>
          <w:bCs/>
          <w:sz w:val="21"/>
          <w:szCs w:val="21"/>
        </w:rPr>
        <w:t>La sezione strategica (</w:t>
      </w:r>
      <w:proofErr w:type="spellStart"/>
      <w:r>
        <w:rPr>
          <w:rFonts w:ascii="Trebuchet MS" w:hAnsi="Trebuchet MS" w:cs="Trebuchet MS"/>
          <w:b/>
          <w:bCs/>
          <w:sz w:val="21"/>
          <w:szCs w:val="21"/>
        </w:rPr>
        <w:t>SeS</w:t>
      </w:r>
      <w:proofErr w:type="spellEnd"/>
      <w:r>
        <w:rPr>
          <w:rFonts w:ascii="Trebuchet MS" w:hAnsi="Trebuchet MS" w:cs="Trebuchet MS"/>
          <w:b/>
          <w:bCs/>
          <w:sz w:val="21"/>
          <w:szCs w:val="21"/>
        </w:rPr>
        <w:t>)</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La </w:t>
      </w:r>
      <w:proofErr w:type="spellStart"/>
      <w:r>
        <w:rPr>
          <w:rFonts w:ascii="Trebuchet MS" w:hAnsi="Trebuchet MS" w:cs="Trebuchet MS"/>
          <w:sz w:val="21"/>
          <w:szCs w:val="21"/>
        </w:rPr>
        <w:t>SeS</w:t>
      </w:r>
      <w:proofErr w:type="spellEnd"/>
      <w:r>
        <w:rPr>
          <w:rFonts w:ascii="Trebuchet MS" w:hAnsi="Trebuchet MS" w:cs="Trebuchet MS"/>
          <w:sz w:val="21"/>
          <w:szCs w:val="21"/>
        </w:rPr>
        <w:t xml:space="preserve"> sviluppa e concretizza le linee programmatiche di mandato approvate con deliberazione del Consiglio Comunale, con un orizzonte temporale pari al mandato amministrativo.</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Individua gli indirizzi strategici dell’Ente, ossia le principali scelte che caratterizzano il programma dell’Amministrazione, da realizzare nel corso del mandato amministrativo, in coerenza con il quadro normativo di riferimento, nonché con le linee di indirizzo della programmazione regionale, compatibilmente con i vincoli di finanza pubblica.</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Tra i contenuti della sezione, si sottolineano in particolare i seguenti ambiti: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analisi delle condizioni esterne: considera il contesto economico internazionale e nazionale, gli indirizzi contenuti nei documenti di programmazione comunitari, nazionali e regionali, nonché le condizioni e prospettive socio-economiche del territorio dell’Ente;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lastRenderedPageBreak/>
        <w:t>analisi delle condizioni interne: evoluzione della situazione finanziaria ed economico-patrimoniale dell’ente, analisi degli impegni già assunti e investimenti in corso di realizzazione, quadro delle risorse umane disponibili, organizzazione e modalità di gestione dei servizi, situazione economica e finanziaria degli organismi partecipati.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Nel primo anno del mandato amministrativo sono definiti gli obiettivi strategici da perseguire entro la fine del mandato, per ogni missione di bilancio:</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Servizi istituzionali, generali e di gestione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Giustizia</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Ordine pubblico e sicurezza</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Istruzione e diritto allo studio</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Tutela e valorizzazione dei beni e attività culturali</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Politiche giovanili, sport e tempo libero</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Turismo</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Assetto del territorio ed edilizia abitativa</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Sviluppo sostenibile e tutela del territorio e dell'ambiente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Trasporti e diritto alla mobilità</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Soccorso civile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Diritti sociali, politiche sociali e famiglia</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Tutela della salute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Sviluppo economico e competitività</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Politiche per il lavoro e la formazione professionale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Agricoltura, politiche agroalimentari e pesca</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Energia e diversificazione delle fonti energetiche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Relazioni con le altre autonomie territoriali e locali</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Relazioni internazionali</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Fondi e accantonamenti</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Debito pubblico</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Anticipazioni finanziarie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Infine, nella </w:t>
      </w:r>
      <w:proofErr w:type="spellStart"/>
      <w:r>
        <w:rPr>
          <w:rFonts w:ascii="Trebuchet MS" w:hAnsi="Trebuchet MS" w:cs="Trebuchet MS"/>
          <w:sz w:val="21"/>
          <w:szCs w:val="21"/>
        </w:rPr>
        <w:t>SeS</w:t>
      </w:r>
      <w:proofErr w:type="spellEnd"/>
      <w:r>
        <w:rPr>
          <w:rFonts w:ascii="Trebuchet MS" w:hAnsi="Trebuchet MS" w:cs="Trebuchet MS"/>
          <w:sz w:val="21"/>
          <w:szCs w:val="21"/>
        </w:rPr>
        <w:t xml:space="preserve"> sono indicati gli strumenti attraverso i quali l'Ente intende rendicontare il proprio operato nel corso del mandato in maniera sistematica e trasparente, per informare i cittadini del livello di realizzazione dei programmi, di raggiungimento degli obiettivi e delle collegate aree di responsabilità politica o amministrativa.</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b/>
          <w:bCs/>
          <w:sz w:val="21"/>
          <w:szCs w:val="21"/>
        </w:rPr>
      </w:pPr>
      <w:r>
        <w:rPr>
          <w:rFonts w:ascii="Trebuchet MS" w:hAnsi="Trebuchet MS" w:cs="Trebuchet MS"/>
          <w:b/>
          <w:bCs/>
          <w:sz w:val="21"/>
          <w:szCs w:val="21"/>
        </w:rPr>
        <w:t>La sezione operativa (</w:t>
      </w:r>
      <w:proofErr w:type="spellStart"/>
      <w:r>
        <w:rPr>
          <w:rFonts w:ascii="Trebuchet MS" w:hAnsi="Trebuchet MS" w:cs="Trebuchet MS"/>
          <w:b/>
          <w:bCs/>
          <w:sz w:val="21"/>
          <w:szCs w:val="21"/>
        </w:rPr>
        <w:t>SeO</w:t>
      </w:r>
      <w:proofErr w:type="spellEnd"/>
      <w:r>
        <w:rPr>
          <w:rFonts w:ascii="Trebuchet MS" w:hAnsi="Trebuchet MS" w:cs="Trebuchet MS"/>
          <w:b/>
          <w:bCs/>
          <w:sz w:val="21"/>
          <w:szCs w:val="21"/>
        </w:rPr>
        <w:t>)</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La </w:t>
      </w:r>
      <w:proofErr w:type="spellStart"/>
      <w:r>
        <w:rPr>
          <w:rFonts w:ascii="Trebuchet MS" w:hAnsi="Trebuchet MS" w:cs="Trebuchet MS"/>
          <w:sz w:val="21"/>
          <w:szCs w:val="21"/>
        </w:rPr>
        <w:t>SeO</w:t>
      </w:r>
      <w:proofErr w:type="spellEnd"/>
      <w:r>
        <w:rPr>
          <w:rFonts w:ascii="Trebuchet MS" w:hAnsi="Trebuchet MS" w:cs="Trebuchet MS"/>
          <w:sz w:val="21"/>
          <w:szCs w:val="21"/>
        </w:rPr>
        <w:t xml:space="preserve"> contiene la programmazione operativa dell’ente con un orizzonte temporale corrispondente al bilancio di previsione ed è strutturata in due parti.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lastRenderedPageBreak/>
        <w:t xml:space="preserve">Parte prima: contiene per ogni singola missione e coerentemente agli indirizzi strategici contenuti nella </w:t>
      </w:r>
      <w:proofErr w:type="spellStart"/>
      <w:r>
        <w:rPr>
          <w:rFonts w:ascii="Trebuchet MS" w:hAnsi="Trebuchet MS" w:cs="Trebuchet MS"/>
          <w:sz w:val="21"/>
          <w:szCs w:val="21"/>
        </w:rPr>
        <w:t>SeS</w:t>
      </w:r>
      <w:proofErr w:type="spellEnd"/>
      <w:r>
        <w:rPr>
          <w:rFonts w:ascii="Trebuchet MS" w:hAnsi="Trebuchet MS" w:cs="Trebuchet MS"/>
          <w:sz w:val="21"/>
          <w:szCs w:val="21"/>
        </w:rPr>
        <w:t>, i programmi operativi che l’ente intende realizzare nel triennio, sia con riferimento all’Ente che al gruppo amministrazione pubblica. Si ricorda che i programmi non possono essere liberamente scelti dall’Ente, bensì devono corrispondere tassativamente all’elenco contenuto nello schema di bilancio di previsione.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Per ogni programma sono individuati gli obiettivi operativi annuali da raggiungere nel corso del triennio, che discendono dagli obiettivi strategici indicati nella precedente Sezione Strategica.</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Parte Seconda: contiene la programmazione in materia di personale, lavori pubblici e patrimonio. In questa parte sono collocati: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programmazione del fabbisogno di personale al fine di soddisfare le esigenze di funzionalità e di ottimizzazione delle risorse per il miglior funzionamento dei servizi, compatibilmente con le disponibilità finanziarie e i vincoli di finanza pubblica;</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il programma delle opere pubbliche;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il piano delle alienazioni e valorizzazioni immobiliari.</w:t>
      </w:r>
    </w:p>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before="227" w:after="1134" w:line="240" w:lineRule="auto"/>
        <w:rPr>
          <w:rFonts w:ascii="Trebuchet MS" w:hAnsi="Trebuchet MS" w:cs="Trebuchet MS"/>
          <w:caps/>
          <w:color w:val="000000"/>
          <w:sz w:val="64"/>
          <w:szCs w:val="64"/>
          <w:highlight w:val="white"/>
        </w:rPr>
      </w:pPr>
      <w:r>
        <w:rPr>
          <w:rFonts w:ascii="Trebuchet MS" w:hAnsi="Trebuchet MS" w:cs="Trebuchet MS"/>
          <w:caps/>
          <w:color w:val="000000"/>
          <w:sz w:val="64"/>
          <w:szCs w:val="64"/>
          <w:highlight w:val="white"/>
        </w:rPr>
        <w:t>SEZIONE STRATEGICA</w:t>
      </w:r>
    </w:p>
    <w:p w:rsidR="004854B0" w:rsidRDefault="004854B0" w:rsidP="004854B0">
      <w:pPr>
        <w:autoSpaceDE w:val="0"/>
        <w:autoSpaceDN w:val="0"/>
        <w:adjustRightInd w:val="0"/>
        <w:spacing w:before="113" w:after="850" w:line="240" w:lineRule="auto"/>
        <w:ind w:firstLine="539"/>
        <w:rPr>
          <w:rFonts w:ascii="Trebuchet MS" w:hAnsi="Trebuchet MS" w:cs="Trebuchet MS"/>
          <w:color w:val="000000"/>
          <w:sz w:val="48"/>
          <w:szCs w:val="48"/>
          <w:highlight w:val="white"/>
        </w:rPr>
      </w:pPr>
      <w:r>
        <w:rPr>
          <w:rFonts w:ascii="Trebuchet MS" w:hAnsi="Trebuchet MS" w:cs="Trebuchet MS"/>
          <w:color w:val="000000"/>
          <w:sz w:val="48"/>
          <w:szCs w:val="48"/>
          <w:highlight w:val="white"/>
        </w:rPr>
        <w:t>Quadro delle condizioni esterne all'ente</w:t>
      </w: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Lo scenario economico internazionale, italiano e regionale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Tra gli elementi citati dal principio applicato della programmazione, a supporto dell’analisi del contesto in cui si colloca la pianificazione comunale, sono citate le condizioni esterne. Si ritiene pertanto opportuno tracciare, seppur sinteticamente, lo scenario economico internazionale, italiano e regionale, nonché riportare le linee principali di pianificazione regionale per il prossimo triennio.</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L’individuazione degli obiettivi strategici consegue a un processo conoscitivo di analisi strategica delle condizioni esterne ed interne all’ente, sia in termini attuali che prospettici e alla definizione di indirizzi generali di natura strategica. </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Con riferimento alle condizioni esterne, l’analisi strategica ha l'obiettivo di approfondire i seguenti profili:</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lastRenderedPageBreak/>
        <w:t>gli obiettivi individuati dal Governo per il periodo considerato anche alla luce degli indirizzi e delle scelte contenute nei documenti di programmazione comunitari e nazionali;</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valutazione corrente e prospettica della situazione socio-economica del territorio di riferimento e della domanda di servizi pubblici locali anche in considerazione dei risultati e delle prospettive future di sviluppo socio-economico;</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 parametri economici essenziali utilizzati per identificare, a legislazione vigente, l’evoluzione dei flussi finanziari ed economici dell’ente e dei propri enti strumentali, segnalando le differenze rispetto ai parametri considerati nella Decisione di Economia e Finanza (DEF).</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Lo scenario macroeconomico internazionale mostra una ripresa graduale e differenziata tra le aree geografiche, frenata dalle difficoltà delle economie emergenti. In particolare, la crescita è proseguita nei “paesi avanzati” mostrando per gli altri un indebolimento.</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Le previsioni di crescita sono state riviste al ribasso dagli organismi internazionali, anche se negli ultimi mesi sembra essersi arrestato il rallentamento dell’economia cinese.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Nell’area Euro il prodotto è tornato a crescere e gli indicatori congiunturali più recenti prefigurano una prosecuzione della ripresa, seppur a ritmi moderati. Permangono, tuttavia, una debole domanda interna e una elevata disoccupazione, a cui si aggiungono i timori di una minore domanda proveniente dai paesi emergenti.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Per quanto riguarda l’economia italiana, la fase recessiva sta lentamente lasciando il posto ad una fase di stabilizzazione, anche se la congiuntura rimane debole nel confronto con il resto dell’area dell’euro e l’evoluzione nei prossimo futuro rimane incerta.</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Le più recenti valutazioni degli imprenditori indicano un’attenuazione del pessimismo circa l’evoluzione del quadro economico generale. Il miglioramento della fase ciclica riflette la ripresa delle esportazioni, cui si associano segnali più favorevoli per l’attività di investimento.</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spesa delle famiglie è ancora frenata dalla debolezza del reddito disponibile e dalle difficili condizioni del mercato del lavoro.</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La tabella seguente riporta, in forma numerica, lo scenario economico nazionale e regionale </w:t>
      </w:r>
    </w:p>
    <w:p w:rsidR="004854B0" w:rsidRDefault="004854B0" w:rsidP="004854B0">
      <w:pPr>
        <w:autoSpaceDE w:val="0"/>
        <w:autoSpaceDN w:val="0"/>
        <w:adjustRightInd w:val="0"/>
        <w:spacing w:after="0" w:line="360" w:lineRule="auto"/>
        <w:jc w:val="both"/>
        <w:rPr>
          <w:rFonts w:ascii="Trebuchet MS" w:hAnsi="Trebuchet MS" w:cs="Trebuchet MS"/>
          <w:sz w:val="21"/>
          <w:szCs w:val="21"/>
        </w:rPr>
      </w:pPr>
      <w:r>
        <w:rPr>
          <w:rFonts w:ascii="Trebuchet MS" w:hAnsi="Trebuchet MS" w:cs="Trebuchet MS"/>
          <w:sz w:val="21"/>
          <w:szCs w:val="21"/>
        </w:rPr>
        <w:t>nel quale il nostro Ente si colloca evidenziando la distribuzione del PIL.</w:t>
      </w:r>
    </w:p>
    <w:p w:rsidR="00DD0BB8" w:rsidRDefault="00DD0BB8" w:rsidP="004854B0">
      <w:pPr>
        <w:autoSpaceDE w:val="0"/>
        <w:autoSpaceDN w:val="0"/>
        <w:adjustRightInd w:val="0"/>
        <w:spacing w:after="0" w:line="360" w:lineRule="auto"/>
        <w:jc w:val="both"/>
        <w:rPr>
          <w:rFonts w:ascii="Trebuchet MS" w:hAnsi="Trebuchet MS" w:cs="Trebuchet MS"/>
          <w:sz w:val="21"/>
          <w:szCs w:val="21"/>
        </w:rPr>
      </w:pPr>
    </w:p>
    <w:tbl>
      <w:tblPr>
        <w:tblW w:w="5000" w:type="pct"/>
        <w:tblCellMar>
          <w:left w:w="55" w:type="dxa"/>
          <w:right w:w="55" w:type="dxa"/>
        </w:tblCellMar>
        <w:tblLook w:val="0000"/>
      </w:tblPr>
      <w:tblGrid>
        <w:gridCol w:w="1122"/>
        <w:gridCol w:w="1418"/>
        <w:gridCol w:w="1256"/>
        <w:gridCol w:w="1258"/>
        <w:gridCol w:w="1256"/>
        <w:gridCol w:w="1258"/>
        <w:gridCol w:w="1256"/>
        <w:gridCol w:w="1258"/>
      </w:tblGrid>
      <w:tr w:rsidR="004854B0" w:rsidTr="004854B0">
        <w:trPr>
          <w:trHeight w:val="1"/>
        </w:trPr>
        <w:tc>
          <w:tcPr>
            <w:tcW w:w="556" w:type="pct"/>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703" w:type="pct"/>
            <w:tcBorders>
              <w:top w:val="single" w:sz="2" w:space="0" w:color="CCCCCC"/>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1247" w:type="pct"/>
            <w:gridSpan w:val="2"/>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2011</w:t>
            </w:r>
          </w:p>
        </w:tc>
        <w:tc>
          <w:tcPr>
            <w:tcW w:w="1247" w:type="pct"/>
            <w:gridSpan w:val="2"/>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2012</w:t>
            </w:r>
          </w:p>
        </w:tc>
        <w:tc>
          <w:tcPr>
            <w:tcW w:w="1247" w:type="pct"/>
            <w:gridSpan w:val="2"/>
            <w:tcBorders>
              <w:top w:val="single" w:sz="2" w:space="0" w:color="CCCCCC"/>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2013</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PIL ai prezzi di mercato</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Imposte al netto dei contributi ai prodotti</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PIL ai prezzi di mercato</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Imposte al netto dei contributi ai prodotti</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PIL ai prezzi di mercato</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Imposte al netto dei contributi ai prodotti</w:t>
            </w:r>
          </w:p>
        </w:tc>
      </w:tr>
      <w:tr w:rsidR="004854B0" w:rsidTr="004854B0">
        <w:trPr>
          <w:trHeight w:val="6"/>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C5</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C6</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t>Italia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1.638.857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167.129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1.628.004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165.217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1.618.904</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162.101</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t>Centro-nord</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1.267.445</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128.311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1.259.748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127.457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1.258.404</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125.488</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R3</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t>Nord</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908.964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92.139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903.939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91.747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905.080</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90.464</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R4</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t>Nord-ovest</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539.810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55.187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536.747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54.766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539.497</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54.132</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R5</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Piemonte</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129.160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13.273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127.573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12.755</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126.335</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12.526</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R6</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Valle d'Aosta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4.719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581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4.708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624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4.722</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618</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R7</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Liguria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48.350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5.047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48.029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4.928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48.081</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4.843</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R8</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Lombardia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357.581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36.286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356.437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36.458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360.358</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36.146</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lastRenderedPageBreak/>
              <w:t>R9</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t>Nord-est</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369.154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36.952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367.192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36.981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365.583</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36.332</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R10</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 xml:space="preserve">Trentino </w:t>
            </w:r>
            <w:proofErr w:type="spellStart"/>
            <w:r>
              <w:rPr>
                <w:rFonts w:ascii="Trebuchet MS" w:hAnsi="Trebuchet MS" w:cs="Trebuchet MS"/>
                <w:sz w:val="16"/>
                <w:szCs w:val="16"/>
              </w:rPr>
              <w:t>A.Adige</w:t>
            </w:r>
            <w:proofErr w:type="spellEnd"/>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37.469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3.280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37.784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3.363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38.387</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3.347</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R11</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Provincia BZ</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19.633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1.804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20.152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1.879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20.439</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1.842</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R12</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Provincia TN</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17.836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1.476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17.632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1.484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17.948</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1.506</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R13</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Veneto</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150.707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15.244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149.418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15.391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147.777</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15.098</w:t>
            </w:r>
          </w:p>
        </w:tc>
      </w:tr>
      <w:tr w:rsidR="004854B0" w:rsidTr="004854B0">
        <w:trPr>
          <w:trHeight w:val="252"/>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R14</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Friuli</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35.892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3.600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35.522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3.332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35.162</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3.263</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R15</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roofErr w:type="spellStart"/>
            <w:r>
              <w:rPr>
                <w:rFonts w:ascii="Trebuchet MS" w:hAnsi="Trebuchet MS" w:cs="Trebuchet MS"/>
                <w:sz w:val="16"/>
                <w:szCs w:val="16"/>
              </w:rPr>
              <w:t>Emilia-Rom</w:t>
            </w:r>
            <w:proofErr w:type="spellEnd"/>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145.085</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14.828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144.468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14.896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144.257</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14.623</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R16</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t>Centro</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358.481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36.172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355.809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35.710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353.324</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35.024</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R17</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Toscana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108.201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11.128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108.126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11.108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108.609</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10.945</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R18</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Umbria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21.845</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2.103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21.695</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2.170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21.868</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2.097</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R19</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Marche</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40.306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3.943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39.576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3.812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38.642</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3.670</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R20</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Lazio</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188.129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18.998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186.412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18.620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184.206</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18.311</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R21</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t>Mezzogiorno</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369.915</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38.817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366.789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37.760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359.072</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36.613</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R22</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t>Sud</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249.899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26.188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248.533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25.199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243.824</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24.308</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R23</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Abruzzo</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31.656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3.325</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31.771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3.264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30.662</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3.161</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R24</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Molise</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6.356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609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6.221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583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5.916</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554</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R25</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Campania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98.972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11.166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99.194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10.843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99.723</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10.637</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R26</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Puglia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69.645</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6.562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68.887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6.151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66.356</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5.749</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R27</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Basilicata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10.956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1.043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10.595</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940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10.598</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884</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R28</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Calabria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32.313</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3.484</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31.866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3.418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30.569</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3.325</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R29</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t>Isole</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120.016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12.629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118.256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12.561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115.247</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12.305</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R30</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Sicilia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87.330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9.389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85.935</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9.289</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84.035</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9.115</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R31</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Sardegna</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32.686</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3.240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32.321</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3.272</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31.212</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3.190</w:t>
            </w:r>
          </w:p>
        </w:tc>
      </w:tr>
      <w:tr w:rsidR="004854B0" w:rsidTr="004854B0">
        <w:trPr>
          <w:trHeight w:val="1"/>
        </w:trPr>
        <w:tc>
          <w:tcPr>
            <w:tcW w:w="55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R32</w:t>
            </w:r>
          </w:p>
        </w:tc>
        <w:tc>
          <w:tcPr>
            <w:tcW w:w="703" w:type="pct"/>
            <w:tcBorders>
              <w:top w:val="single" w:sz="2" w:space="0" w:color="000000"/>
              <w:left w:val="single" w:sz="2" w:space="0" w:color="000000"/>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b/>
                <w:bCs/>
                <w:sz w:val="16"/>
                <w:szCs w:val="16"/>
              </w:rPr>
              <w:t>Extra-Regio</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1.498</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1.467</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0</w:t>
            </w:r>
          </w:p>
        </w:tc>
        <w:tc>
          <w:tcPr>
            <w:tcW w:w="623"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1.428</w:t>
            </w:r>
          </w:p>
        </w:tc>
        <w:tc>
          <w:tcPr>
            <w:tcW w:w="624"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0</w:t>
            </w:r>
          </w:p>
        </w:tc>
      </w:tr>
    </w:tbl>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Prodotto Interno Lordo regionale e nazionale (fonte: Istat) - milioni di euro</w:t>
      </w:r>
    </w:p>
    <w:p w:rsidR="004854B0" w:rsidRDefault="004854B0" w:rsidP="004854B0">
      <w:pPr>
        <w:autoSpaceDE w:val="0"/>
        <w:autoSpaceDN w:val="0"/>
        <w:adjustRightInd w:val="0"/>
        <w:spacing w:before="113" w:after="397" w:line="240" w:lineRule="auto"/>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La popolazione</w:t>
      </w:r>
    </w:p>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Pr="00CA3E73"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sidRPr="00CA3E73">
        <w:rPr>
          <w:rFonts w:ascii="Trebuchet MS" w:hAnsi="Trebuchet MS" w:cs="Trebuchet MS"/>
          <w:sz w:val="21"/>
          <w:szCs w:val="21"/>
        </w:rPr>
        <w:t xml:space="preserve">La popolazione totale residente nell’ambito territoriale dell’Ente secondo i dati dell’ultimo </w:t>
      </w:r>
      <w:r w:rsidR="00CA3E73" w:rsidRPr="00CA3E73">
        <w:rPr>
          <w:rFonts w:ascii="Trebuchet MS" w:hAnsi="Trebuchet MS" w:cs="Trebuchet MS"/>
          <w:sz w:val="21"/>
          <w:szCs w:val="21"/>
        </w:rPr>
        <w:t>censimento ammonta a n.  3645 ed alla data del 31/12/2016</w:t>
      </w:r>
      <w:r w:rsidRPr="00CA3E73">
        <w:rPr>
          <w:rFonts w:ascii="Trebuchet MS" w:hAnsi="Trebuchet MS" w:cs="Trebuchet MS"/>
          <w:sz w:val="21"/>
          <w:szCs w:val="21"/>
        </w:rPr>
        <w:t>, secondo i dati anagrafici, ammonta a n. 3663.</w:t>
      </w:r>
    </w:p>
    <w:p w:rsidR="004854B0" w:rsidRPr="00CA3E73"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sidRPr="00CA3E73">
        <w:rPr>
          <w:rFonts w:ascii="Trebuchet MS" w:hAnsi="Trebuchet MS" w:cs="Trebuchet MS"/>
          <w:sz w:val="21"/>
          <w:szCs w:val="21"/>
        </w:rPr>
        <w:t>Con i grafici seguenti si rappresenta l’andamento negli anni della popolazione residente:</w:t>
      </w:r>
    </w:p>
    <w:p w:rsidR="004854B0" w:rsidRPr="00CA3E73" w:rsidRDefault="004854B0" w:rsidP="004854B0">
      <w:pPr>
        <w:autoSpaceDE w:val="0"/>
        <w:autoSpaceDN w:val="0"/>
        <w:adjustRightInd w:val="0"/>
        <w:spacing w:after="0" w:line="360" w:lineRule="auto"/>
        <w:ind w:firstLine="539"/>
        <w:jc w:val="both"/>
        <w:rPr>
          <w:rFonts w:ascii="Calibri" w:hAnsi="Calibri" w:cs="Calibri"/>
        </w:rPr>
      </w:pPr>
    </w:p>
    <w:p w:rsidR="004854B0" w:rsidRPr="00CA3E73" w:rsidRDefault="004854B0" w:rsidP="004854B0">
      <w:pPr>
        <w:autoSpaceDE w:val="0"/>
        <w:autoSpaceDN w:val="0"/>
        <w:adjustRightInd w:val="0"/>
        <w:spacing w:after="0" w:line="360" w:lineRule="auto"/>
        <w:ind w:firstLine="539"/>
        <w:jc w:val="both"/>
        <w:rPr>
          <w:rFonts w:ascii="Calibri" w:hAnsi="Calibri" w:cs="Calibri"/>
        </w:rPr>
      </w:pPr>
    </w:p>
    <w:tbl>
      <w:tblPr>
        <w:tblW w:w="5000" w:type="pct"/>
        <w:tblCellMar>
          <w:left w:w="55" w:type="dxa"/>
          <w:right w:w="55" w:type="dxa"/>
        </w:tblCellMar>
        <w:tblLook w:val="0000"/>
      </w:tblPr>
      <w:tblGrid>
        <w:gridCol w:w="2525"/>
        <w:gridCol w:w="3954"/>
        <w:gridCol w:w="3603"/>
      </w:tblGrid>
      <w:tr w:rsidR="004854B0" w:rsidRPr="00CA3E73" w:rsidTr="004854B0">
        <w:trPr>
          <w:trHeight w:val="533"/>
        </w:trPr>
        <w:tc>
          <w:tcPr>
            <w:tcW w:w="1252" w:type="pct"/>
            <w:tcBorders>
              <w:top w:val="single" w:sz="2" w:space="0" w:color="CCCCCC"/>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jc w:val="center"/>
              <w:rPr>
                <w:rFonts w:ascii="Calibri" w:hAnsi="Calibri" w:cs="Calibri"/>
              </w:rPr>
            </w:pPr>
          </w:p>
        </w:tc>
        <w:tc>
          <w:tcPr>
            <w:tcW w:w="1961" w:type="pct"/>
            <w:tcBorders>
              <w:top w:val="single" w:sz="2" w:space="0" w:color="CCCCCC"/>
              <w:left w:val="single" w:sz="2" w:space="0" w:color="CCCCCC"/>
              <w:bottom w:val="single" w:sz="2" w:space="0" w:color="CCCCCC"/>
              <w:right w:val="single" w:sz="2" w:space="0" w:color="000000"/>
            </w:tcBorders>
            <w:shd w:val="clear" w:color="000000" w:fill="FFFFFF"/>
            <w:vAlign w:val="center"/>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b/>
                <w:bCs/>
                <w:sz w:val="16"/>
                <w:szCs w:val="16"/>
              </w:rPr>
              <w:t>Anni</w:t>
            </w:r>
          </w:p>
        </w:tc>
        <w:tc>
          <w:tcPr>
            <w:tcW w:w="1787" w:type="pct"/>
            <w:tcBorders>
              <w:top w:val="single" w:sz="2" w:space="0" w:color="CCCCCC"/>
              <w:left w:val="single" w:sz="2" w:space="0" w:color="CCCCCC"/>
              <w:bottom w:val="single" w:sz="2" w:space="0" w:color="CCCCCC"/>
              <w:right w:val="single" w:sz="2" w:space="0" w:color="CCCCCC"/>
            </w:tcBorders>
            <w:shd w:val="clear" w:color="000000" w:fill="FFFFFF"/>
            <w:vAlign w:val="center"/>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b/>
                <w:bCs/>
                <w:sz w:val="16"/>
                <w:szCs w:val="16"/>
              </w:rPr>
              <w:t>Numero  residenti</w:t>
            </w:r>
          </w:p>
        </w:tc>
      </w:tr>
      <w:tr w:rsidR="004854B0" w:rsidRPr="00CA3E73" w:rsidTr="004854B0">
        <w:trPr>
          <w:trHeight w:val="6"/>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p>
        </w:tc>
        <w:tc>
          <w:tcPr>
            <w:tcW w:w="1961" w:type="pct"/>
            <w:tcBorders>
              <w:top w:val="single" w:sz="2" w:space="0" w:color="000000"/>
              <w:left w:val="single" w:sz="2" w:space="0" w:color="CCCCCC"/>
              <w:bottom w:val="single" w:sz="2" w:space="0" w:color="CCCCCC"/>
              <w:right w:val="single" w:sz="2" w:space="0" w:color="000000"/>
            </w:tcBorders>
            <w:shd w:val="clear" w:color="000000" w:fill="auto"/>
            <w:vAlign w:val="center"/>
          </w:tcPr>
          <w:p w:rsidR="004854B0" w:rsidRPr="00CA3E73" w:rsidRDefault="004854B0">
            <w:pPr>
              <w:autoSpaceDE w:val="0"/>
              <w:autoSpaceDN w:val="0"/>
              <w:adjustRightInd w:val="0"/>
              <w:spacing w:after="0" w:line="240" w:lineRule="auto"/>
              <w:rPr>
                <w:rFonts w:ascii="Calibri" w:hAnsi="Calibri" w:cs="Calibri"/>
              </w:rPr>
            </w:pPr>
          </w:p>
        </w:tc>
        <w:tc>
          <w:tcPr>
            <w:tcW w:w="1787" w:type="pct"/>
            <w:tcBorders>
              <w:top w:val="single" w:sz="2" w:space="0" w:color="000000"/>
              <w:left w:val="single" w:sz="2" w:space="0" w:color="CCCCCC"/>
              <w:bottom w:val="single" w:sz="2" w:space="0" w:color="CCCCCC"/>
              <w:right w:val="single" w:sz="2" w:space="0" w:color="CCCCCC"/>
            </w:tcBorders>
            <w:shd w:val="clear" w:color="000000" w:fill="auto"/>
            <w:vAlign w:val="center"/>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C1</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R2</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1996</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3749</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R3</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1997</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3738</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R4</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1998</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3701</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R5</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1999</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3690</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R6</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2000</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3678</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R7</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2001</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3660</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R8</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2002</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3663</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R9</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2003</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3729</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R10</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2004</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3728</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R11</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2005</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3704</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R12</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2006</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3700</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R13</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2007</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3683</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R14</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2008</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3713</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R15</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2009</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3715</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R16</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2010</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3684</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R17</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2011</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3696</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lastRenderedPageBreak/>
              <w:t>R18</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2012</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3695</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R19</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2013</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3697</w:t>
            </w:r>
          </w:p>
        </w:tc>
      </w:tr>
      <w:tr w:rsidR="004854B0" w:rsidRPr="00CA3E73" w:rsidTr="004854B0">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R20</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2014</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369</w:t>
            </w:r>
            <w:r w:rsidR="00FF4FB1" w:rsidRPr="00CA3E73">
              <w:rPr>
                <w:rFonts w:ascii="Trebuchet MS" w:hAnsi="Trebuchet MS" w:cs="Trebuchet MS"/>
                <w:sz w:val="16"/>
                <w:szCs w:val="16"/>
              </w:rPr>
              <w:t>6</w:t>
            </w:r>
          </w:p>
        </w:tc>
      </w:tr>
      <w:tr w:rsidR="004854B0" w:rsidRPr="00CA3E73" w:rsidTr="00CA3E73">
        <w:trPr>
          <w:trHeight w:val="1"/>
        </w:trPr>
        <w:tc>
          <w:tcPr>
            <w:tcW w:w="1252" w:type="pct"/>
            <w:tcBorders>
              <w:top w:val="single" w:sz="2" w:space="0" w:color="000000"/>
              <w:left w:val="single" w:sz="2" w:space="0" w:color="CCCCCC"/>
              <w:bottom w:val="single" w:sz="2" w:space="0" w:color="000000"/>
              <w:right w:val="single" w:sz="2" w:space="0" w:color="000000"/>
            </w:tcBorders>
            <w:shd w:val="clear" w:color="000000" w:fill="auto"/>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R21</w:t>
            </w:r>
          </w:p>
        </w:tc>
        <w:tc>
          <w:tcPr>
            <w:tcW w:w="1961" w:type="pct"/>
            <w:tcBorders>
              <w:top w:val="single" w:sz="2" w:space="0" w:color="000000"/>
              <w:left w:val="single" w:sz="2" w:space="0" w:color="CCCCCC"/>
              <w:bottom w:val="single" w:sz="2" w:space="0" w:color="000000"/>
              <w:right w:val="single" w:sz="2" w:space="0" w:color="000000"/>
            </w:tcBorders>
            <w:shd w:val="clear" w:color="000000" w:fill="FFFFFF"/>
          </w:tcPr>
          <w:p w:rsidR="004854B0" w:rsidRPr="00CA3E73" w:rsidRDefault="004854B0">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2015</w:t>
            </w:r>
          </w:p>
        </w:tc>
        <w:tc>
          <w:tcPr>
            <w:tcW w:w="1787" w:type="pct"/>
            <w:tcBorders>
              <w:top w:val="single" w:sz="2" w:space="0" w:color="000000"/>
              <w:left w:val="single" w:sz="2" w:space="0" w:color="CCCCCC"/>
              <w:bottom w:val="single" w:sz="2" w:space="0" w:color="000000"/>
              <w:right w:val="single" w:sz="2" w:space="0" w:color="CCCCCC"/>
            </w:tcBorders>
            <w:shd w:val="clear" w:color="000000" w:fill="FFFFFF"/>
          </w:tcPr>
          <w:p w:rsidR="004854B0" w:rsidRPr="00CA3E73" w:rsidRDefault="002668FB">
            <w:pPr>
              <w:autoSpaceDE w:val="0"/>
              <w:autoSpaceDN w:val="0"/>
              <w:adjustRightInd w:val="0"/>
              <w:spacing w:after="0" w:line="240" w:lineRule="auto"/>
              <w:jc w:val="center"/>
              <w:rPr>
                <w:rFonts w:ascii="Calibri" w:hAnsi="Calibri" w:cs="Calibri"/>
              </w:rPr>
            </w:pPr>
            <w:r w:rsidRPr="00CA3E73">
              <w:rPr>
                <w:rFonts w:ascii="Trebuchet MS" w:hAnsi="Trebuchet MS" w:cs="Trebuchet MS"/>
                <w:sz w:val="16"/>
                <w:szCs w:val="16"/>
              </w:rPr>
              <w:t>3663</w:t>
            </w:r>
          </w:p>
        </w:tc>
      </w:tr>
      <w:tr w:rsidR="00CA3E73" w:rsidRPr="00CA3E73" w:rsidTr="004854B0">
        <w:trPr>
          <w:trHeight w:val="1"/>
        </w:trPr>
        <w:tc>
          <w:tcPr>
            <w:tcW w:w="1252" w:type="pct"/>
            <w:tcBorders>
              <w:top w:val="single" w:sz="2" w:space="0" w:color="000000"/>
              <w:left w:val="single" w:sz="2" w:space="0" w:color="CCCCCC"/>
              <w:bottom w:val="single" w:sz="2" w:space="0" w:color="CCCCCC"/>
              <w:right w:val="single" w:sz="2" w:space="0" w:color="000000"/>
            </w:tcBorders>
            <w:shd w:val="clear" w:color="000000" w:fill="auto"/>
          </w:tcPr>
          <w:p w:rsidR="00CA3E73" w:rsidRPr="00CA3E73" w:rsidRDefault="00CA3E73">
            <w:pPr>
              <w:autoSpaceDE w:val="0"/>
              <w:autoSpaceDN w:val="0"/>
              <w:adjustRightInd w:val="0"/>
              <w:spacing w:after="0" w:line="240" w:lineRule="auto"/>
              <w:rPr>
                <w:rFonts w:ascii="Trebuchet MS" w:hAnsi="Trebuchet MS" w:cs="Trebuchet MS"/>
                <w:sz w:val="16"/>
                <w:szCs w:val="16"/>
              </w:rPr>
            </w:pPr>
            <w:r w:rsidRPr="00CA3E73">
              <w:rPr>
                <w:rFonts w:ascii="Trebuchet MS" w:hAnsi="Trebuchet MS" w:cs="Trebuchet MS"/>
                <w:sz w:val="16"/>
                <w:szCs w:val="16"/>
              </w:rPr>
              <w:t>R22</w:t>
            </w:r>
          </w:p>
        </w:tc>
        <w:tc>
          <w:tcPr>
            <w:tcW w:w="1961" w:type="pct"/>
            <w:tcBorders>
              <w:top w:val="single" w:sz="2" w:space="0" w:color="000000"/>
              <w:left w:val="single" w:sz="2" w:space="0" w:color="CCCCCC"/>
              <w:bottom w:val="single" w:sz="2" w:space="0" w:color="CCCCCC"/>
              <w:right w:val="single" w:sz="2" w:space="0" w:color="000000"/>
            </w:tcBorders>
            <w:shd w:val="clear" w:color="000000" w:fill="FFFFFF"/>
          </w:tcPr>
          <w:p w:rsidR="00CA3E73" w:rsidRPr="00CA3E73" w:rsidRDefault="00CA3E73">
            <w:pPr>
              <w:autoSpaceDE w:val="0"/>
              <w:autoSpaceDN w:val="0"/>
              <w:adjustRightInd w:val="0"/>
              <w:spacing w:after="0" w:line="240" w:lineRule="auto"/>
              <w:jc w:val="center"/>
              <w:rPr>
                <w:rFonts w:ascii="Trebuchet MS" w:hAnsi="Trebuchet MS" w:cs="Trebuchet MS"/>
                <w:sz w:val="16"/>
                <w:szCs w:val="16"/>
              </w:rPr>
            </w:pPr>
            <w:r w:rsidRPr="00CA3E73">
              <w:rPr>
                <w:rFonts w:ascii="Trebuchet MS" w:hAnsi="Trebuchet MS" w:cs="Trebuchet MS"/>
                <w:sz w:val="16"/>
                <w:szCs w:val="16"/>
              </w:rPr>
              <w:t>2016</w:t>
            </w:r>
          </w:p>
        </w:tc>
        <w:tc>
          <w:tcPr>
            <w:tcW w:w="1787" w:type="pct"/>
            <w:tcBorders>
              <w:top w:val="single" w:sz="2" w:space="0" w:color="000000"/>
              <w:left w:val="single" w:sz="2" w:space="0" w:color="CCCCCC"/>
              <w:bottom w:val="single" w:sz="2" w:space="0" w:color="CCCCCC"/>
              <w:right w:val="single" w:sz="2" w:space="0" w:color="CCCCCC"/>
            </w:tcBorders>
            <w:shd w:val="clear" w:color="000000" w:fill="FFFFFF"/>
          </w:tcPr>
          <w:p w:rsidR="00CA3E73" w:rsidRPr="00CA3E73" w:rsidRDefault="00CA3E73">
            <w:pPr>
              <w:autoSpaceDE w:val="0"/>
              <w:autoSpaceDN w:val="0"/>
              <w:adjustRightInd w:val="0"/>
              <w:spacing w:after="0" w:line="240" w:lineRule="auto"/>
              <w:jc w:val="center"/>
              <w:rPr>
                <w:rFonts w:ascii="Trebuchet MS" w:hAnsi="Trebuchet MS" w:cs="Trebuchet MS"/>
                <w:sz w:val="16"/>
                <w:szCs w:val="16"/>
              </w:rPr>
            </w:pPr>
            <w:r w:rsidRPr="00CA3E73">
              <w:rPr>
                <w:rFonts w:ascii="Trebuchet MS" w:hAnsi="Trebuchet MS" w:cs="Trebuchet MS"/>
                <w:sz w:val="16"/>
                <w:szCs w:val="16"/>
              </w:rPr>
              <w:t>3645</w:t>
            </w:r>
          </w:p>
        </w:tc>
      </w:tr>
    </w:tbl>
    <w:p w:rsidR="004854B0" w:rsidRPr="00CA3E73"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sidRPr="00CA3E73">
        <w:rPr>
          <w:rFonts w:ascii="Trebuchet MS" w:hAnsi="Trebuchet MS" w:cs="Trebuchet MS"/>
          <w:i/>
          <w:iCs/>
          <w:color w:val="847764"/>
          <w:sz w:val="18"/>
          <w:szCs w:val="18"/>
        </w:rPr>
        <w:t>Tabella : Popolazione residente</w:t>
      </w:r>
    </w:p>
    <w:p w:rsidR="004854B0" w:rsidRPr="00CA3E73"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sidRPr="00CA3E73">
        <w:rPr>
          <w:rFonts w:ascii="Trebuchet MS" w:hAnsi="Trebuchet MS" w:cs="Trebuchet MS"/>
          <w:i/>
          <w:iCs/>
          <w:color w:val="847764"/>
          <w:sz w:val="18"/>
          <w:szCs w:val="18"/>
        </w:rPr>
        <w:t>Diagramma : Andamento della popolazione residente</w:t>
      </w:r>
    </w:p>
    <w:p w:rsidR="004854B0" w:rsidRPr="00CA3E73" w:rsidRDefault="004854B0" w:rsidP="004854B0">
      <w:pPr>
        <w:autoSpaceDE w:val="0"/>
        <w:autoSpaceDN w:val="0"/>
        <w:adjustRightInd w:val="0"/>
        <w:spacing w:before="113" w:after="397" w:line="240" w:lineRule="auto"/>
        <w:rPr>
          <w:rFonts w:ascii="Calibri" w:hAnsi="Calibri" w:cs="Calibri"/>
        </w:rPr>
      </w:pPr>
    </w:p>
    <w:p w:rsidR="004854B0" w:rsidRPr="00CA3E73"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sidRPr="00CA3E73">
        <w:rPr>
          <w:rFonts w:ascii="Trebuchet MS" w:hAnsi="Trebuchet MS" w:cs="Trebuchet MS"/>
          <w:sz w:val="21"/>
          <w:szCs w:val="21"/>
        </w:rPr>
        <w:t>Il quadro generale della popolazione  ad oggi  è descritto nella tabella seguente, evidenziando anche l’incidenza nelle diverse fasce d’età e il flusso migratorio che si è verificato durante l’anno.</w:t>
      </w:r>
    </w:p>
    <w:p w:rsidR="004854B0" w:rsidRPr="00CA3E73" w:rsidRDefault="004854B0" w:rsidP="004854B0">
      <w:pPr>
        <w:autoSpaceDE w:val="0"/>
        <w:autoSpaceDN w:val="0"/>
        <w:adjustRightInd w:val="0"/>
        <w:spacing w:after="0" w:line="360" w:lineRule="auto"/>
        <w:ind w:firstLine="539"/>
        <w:rPr>
          <w:rFonts w:ascii="Calibri" w:hAnsi="Calibri" w:cs="Calibri"/>
        </w:rPr>
      </w:pPr>
    </w:p>
    <w:tbl>
      <w:tblPr>
        <w:tblW w:w="5000" w:type="pct"/>
        <w:tblCellMar>
          <w:left w:w="0" w:type="dxa"/>
          <w:right w:w="0" w:type="dxa"/>
        </w:tblCellMar>
        <w:tblLook w:val="0000"/>
      </w:tblPr>
      <w:tblGrid>
        <w:gridCol w:w="1573"/>
        <w:gridCol w:w="4161"/>
        <w:gridCol w:w="435"/>
        <w:gridCol w:w="2449"/>
        <w:gridCol w:w="1360"/>
      </w:tblGrid>
      <w:tr w:rsidR="004854B0" w:rsidRPr="00CA3E73" w:rsidTr="00543A29">
        <w:trPr>
          <w:trHeight w:val="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C1</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Popolazione legale al censimento 20</w:t>
            </w:r>
            <w:r w:rsidR="00CA3E73" w:rsidRPr="00CA3E73">
              <w:rPr>
                <w:rFonts w:ascii="Trebuchet MS" w:hAnsi="Trebuchet MS" w:cs="Trebuchet MS"/>
                <w:sz w:val="16"/>
                <w:szCs w:val="16"/>
              </w:rPr>
              <w:t>11</w:t>
            </w: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pPr>
              <w:autoSpaceDE w:val="0"/>
              <w:autoSpaceDN w:val="0"/>
              <w:adjustRightInd w:val="0"/>
              <w:spacing w:after="0" w:line="240" w:lineRule="auto"/>
              <w:jc w:val="right"/>
              <w:rPr>
                <w:rFonts w:ascii="Calibri" w:hAnsi="Calibri" w:cs="Calibri"/>
              </w:rPr>
            </w:pPr>
            <w:r w:rsidRPr="00CA3E73">
              <w:rPr>
                <w:rFonts w:ascii="Calibri" w:hAnsi="Calibri" w:cs="Calibri"/>
              </w:rPr>
              <w:t>3649</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jc w:val="right"/>
              <w:rPr>
                <w:rFonts w:ascii="Calibri" w:hAnsi="Calibri" w:cs="Calibri"/>
              </w:rPr>
            </w:pP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Popolazione al 01/01/</w:t>
            </w:r>
            <w:r w:rsidR="00FF4FB1" w:rsidRPr="00CA3E73">
              <w:rPr>
                <w:rFonts w:ascii="Trebuchet MS" w:hAnsi="Trebuchet MS" w:cs="Trebuchet MS"/>
                <w:sz w:val="16"/>
                <w:szCs w:val="16"/>
              </w:rPr>
              <w:t>201</w:t>
            </w:r>
            <w:r w:rsidR="00CA3E73" w:rsidRPr="00CA3E73">
              <w:rPr>
                <w:rFonts w:ascii="Trebuchet MS" w:hAnsi="Trebuchet MS" w:cs="Trebuchet MS"/>
                <w:sz w:val="16"/>
                <w:szCs w:val="16"/>
              </w:rPr>
              <w:t>6</w:t>
            </w: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pPr>
              <w:autoSpaceDE w:val="0"/>
              <w:autoSpaceDN w:val="0"/>
              <w:adjustRightInd w:val="0"/>
              <w:spacing w:after="0" w:line="240" w:lineRule="auto"/>
              <w:jc w:val="right"/>
              <w:rPr>
                <w:rFonts w:ascii="Calibri" w:hAnsi="Calibri" w:cs="Calibri"/>
              </w:rPr>
            </w:pPr>
            <w:r w:rsidRPr="00CA3E73">
              <w:rPr>
                <w:rFonts w:ascii="Trebuchet MS" w:hAnsi="Trebuchet MS" w:cs="Trebuchet MS"/>
                <w:sz w:val="16"/>
                <w:szCs w:val="16"/>
              </w:rPr>
              <w:t>3663</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Di cui:</w:t>
            </w: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jc w:val="right"/>
              <w:rPr>
                <w:rFonts w:ascii="Calibri" w:hAnsi="Calibri" w:cs="Calibri"/>
              </w:rPr>
            </w:pP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Maschi</w:t>
            </w: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pPr>
              <w:autoSpaceDE w:val="0"/>
              <w:autoSpaceDN w:val="0"/>
              <w:adjustRightInd w:val="0"/>
              <w:spacing w:after="0" w:line="240" w:lineRule="auto"/>
              <w:jc w:val="right"/>
              <w:rPr>
                <w:rFonts w:ascii="Calibri" w:hAnsi="Calibri" w:cs="Calibri"/>
              </w:rPr>
            </w:pPr>
            <w:r w:rsidRPr="00CA3E73">
              <w:rPr>
                <w:rFonts w:ascii="Trebuchet MS" w:hAnsi="Trebuchet MS" w:cs="Trebuchet MS"/>
                <w:sz w:val="16"/>
                <w:szCs w:val="16"/>
              </w:rPr>
              <w:t>1811</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Femmine</w:t>
            </w: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pPr>
              <w:autoSpaceDE w:val="0"/>
              <w:autoSpaceDN w:val="0"/>
              <w:adjustRightInd w:val="0"/>
              <w:spacing w:after="0" w:line="240" w:lineRule="auto"/>
              <w:jc w:val="right"/>
              <w:rPr>
                <w:rFonts w:ascii="Calibri" w:hAnsi="Calibri" w:cs="Calibri"/>
              </w:rPr>
            </w:pPr>
            <w:r w:rsidRPr="00CA3E73">
              <w:rPr>
                <w:rFonts w:ascii="Trebuchet MS" w:hAnsi="Trebuchet MS" w:cs="Trebuchet MS"/>
                <w:sz w:val="16"/>
                <w:szCs w:val="16"/>
              </w:rPr>
              <w:t>1852</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jc w:val="right"/>
              <w:rPr>
                <w:rFonts w:ascii="Calibri" w:hAnsi="Calibri" w:cs="Calibri"/>
              </w:rPr>
            </w:pP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Nati nell'anno</w:t>
            </w: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pPr>
              <w:autoSpaceDE w:val="0"/>
              <w:autoSpaceDN w:val="0"/>
              <w:adjustRightInd w:val="0"/>
              <w:spacing w:after="0" w:line="240" w:lineRule="auto"/>
              <w:jc w:val="right"/>
              <w:rPr>
                <w:rFonts w:ascii="Calibri" w:hAnsi="Calibri" w:cs="Calibri"/>
              </w:rPr>
            </w:pPr>
            <w:r w:rsidRPr="00CA3E73">
              <w:rPr>
                <w:rFonts w:ascii="Calibri" w:hAnsi="Calibri" w:cs="Calibri"/>
              </w:rPr>
              <w:t>30</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Deceduti nell'anno</w:t>
            </w: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pPr>
              <w:autoSpaceDE w:val="0"/>
              <w:autoSpaceDN w:val="0"/>
              <w:adjustRightInd w:val="0"/>
              <w:spacing w:after="0" w:line="240" w:lineRule="auto"/>
              <w:jc w:val="right"/>
              <w:rPr>
                <w:rFonts w:ascii="Calibri" w:hAnsi="Calibri" w:cs="Calibri"/>
              </w:rPr>
            </w:pPr>
            <w:r w:rsidRPr="00CA3E73">
              <w:rPr>
                <w:rFonts w:ascii="Calibri" w:hAnsi="Calibri" w:cs="Calibri"/>
              </w:rPr>
              <w:t>32</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Saldo naturale</w:t>
            </w: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rsidP="0036064B">
            <w:pPr>
              <w:pStyle w:val="Paragrafoelenco"/>
              <w:numPr>
                <w:ilvl w:val="0"/>
                <w:numId w:val="2"/>
              </w:numPr>
              <w:autoSpaceDE w:val="0"/>
              <w:autoSpaceDN w:val="0"/>
              <w:adjustRightInd w:val="0"/>
              <w:spacing w:after="0" w:line="240" w:lineRule="auto"/>
              <w:jc w:val="right"/>
              <w:rPr>
                <w:rFonts w:ascii="Calibri" w:hAnsi="Calibri" w:cs="Calibri"/>
              </w:rPr>
            </w:pPr>
            <w:r w:rsidRPr="00CA3E73">
              <w:rPr>
                <w:rFonts w:ascii="Calibri" w:hAnsi="Calibri" w:cs="Calibri"/>
              </w:rPr>
              <w:t>2</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jc w:val="right"/>
              <w:rPr>
                <w:rFonts w:ascii="Calibri" w:hAnsi="Calibri" w:cs="Calibri"/>
              </w:rPr>
            </w:pP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Immigrati nell'anno</w:t>
            </w: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36064B">
            <w:pPr>
              <w:autoSpaceDE w:val="0"/>
              <w:autoSpaceDN w:val="0"/>
              <w:adjustRightInd w:val="0"/>
              <w:spacing w:after="0" w:line="240" w:lineRule="auto"/>
              <w:jc w:val="right"/>
              <w:rPr>
                <w:rFonts w:ascii="Calibri" w:hAnsi="Calibri" w:cs="Calibri"/>
              </w:rPr>
            </w:pPr>
            <w:r w:rsidRPr="00CA3E73">
              <w:rPr>
                <w:rFonts w:ascii="Trebuchet MS" w:hAnsi="Trebuchet MS" w:cs="Trebuchet MS"/>
                <w:sz w:val="16"/>
                <w:szCs w:val="16"/>
              </w:rPr>
              <w:t>4</w:t>
            </w:r>
            <w:r w:rsidR="00CA3E73" w:rsidRPr="00CA3E73">
              <w:rPr>
                <w:rFonts w:ascii="Trebuchet MS" w:hAnsi="Trebuchet MS" w:cs="Trebuchet MS"/>
                <w:sz w:val="16"/>
                <w:szCs w:val="16"/>
              </w:rPr>
              <w:t>6</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Emigrati nell'anno</w:t>
            </w: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36064B">
            <w:pPr>
              <w:autoSpaceDE w:val="0"/>
              <w:autoSpaceDN w:val="0"/>
              <w:adjustRightInd w:val="0"/>
              <w:spacing w:after="0" w:line="240" w:lineRule="auto"/>
              <w:jc w:val="right"/>
              <w:rPr>
                <w:rFonts w:ascii="Calibri" w:hAnsi="Calibri" w:cs="Calibri"/>
              </w:rPr>
            </w:pPr>
            <w:r w:rsidRPr="00CA3E73">
              <w:rPr>
                <w:rFonts w:ascii="Trebuchet MS" w:hAnsi="Trebuchet MS" w:cs="Trebuchet MS"/>
                <w:sz w:val="16"/>
                <w:szCs w:val="16"/>
              </w:rPr>
              <w:t>6</w:t>
            </w:r>
            <w:r w:rsidR="00CA3E73" w:rsidRPr="00CA3E73">
              <w:rPr>
                <w:rFonts w:ascii="Trebuchet MS" w:hAnsi="Trebuchet MS" w:cs="Trebuchet MS"/>
                <w:sz w:val="16"/>
                <w:szCs w:val="16"/>
              </w:rPr>
              <w:t>2</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Saldo migratorio</w:t>
            </w: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rsidP="0036064B">
            <w:pPr>
              <w:pStyle w:val="Paragrafoelenco"/>
              <w:numPr>
                <w:ilvl w:val="0"/>
                <w:numId w:val="2"/>
              </w:numPr>
              <w:autoSpaceDE w:val="0"/>
              <w:autoSpaceDN w:val="0"/>
              <w:adjustRightInd w:val="0"/>
              <w:spacing w:after="0" w:line="240" w:lineRule="auto"/>
              <w:jc w:val="right"/>
              <w:rPr>
                <w:rFonts w:ascii="Calibri" w:hAnsi="Calibri" w:cs="Calibri"/>
              </w:rPr>
            </w:pPr>
            <w:r w:rsidRPr="00CA3E73">
              <w:rPr>
                <w:rFonts w:ascii="Calibri" w:hAnsi="Calibri" w:cs="Calibri"/>
              </w:rPr>
              <w:t>16</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jc w:val="right"/>
              <w:rPr>
                <w:rFonts w:ascii="Calibri" w:hAnsi="Calibri" w:cs="Calibri"/>
              </w:rPr>
            </w:pP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Popolazione residente al 31/12/</w:t>
            </w:r>
            <w:r w:rsidR="0036064B" w:rsidRPr="00CA3E73">
              <w:rPr>
                <w:rFonts w:ascii="Trebuchet MS" w:hAnsi="Trebuchet MS" w:cs="Trebuchet MS"/>
                <w:sz w:val="16"/>
                <w:szCs w:val="16"/>
              </w:rPr>
              <w:t>201</w:t>
            </w:r>
            <w:r w:rsidR="00CA3E73" w:rsidRPr="00CA3E73">
              <w:rPr>
                <w:rFonts w:ascii="Trebuchet MS" w:hAnsi="Trebuchet MS" w:cs="Trebuchet MS"/>
                <w:sz w:val="16"/>
                <w:szCs w:val="16"/>
              </w:rPr>
              <w:t>6</w:t>
            </w: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pPr>
              <w:autoSpaceDE w:val="0"/>
              <w:autoSpaceDN w:val="0"/>
              <w:adjustRightInd w:val="0"/>
              <w:spacing w:after="0" w:line="240" w:lineRule="auto"/>
              <w:jc w:val="right"/>
              <w:rPr>
                <w:rFonts w:ascii="Calibri" w:hAnsi="Calibri" w:cs="Calibri"/>
              </w:rPr>
            </w:pPr>
            <w:r w:rsidRPr="00CA3E73">
              <w:rPr>
                <w:rFonts w:ascii="Trebuchet MS" w:hAnsi="Trebuchet MS" w:cs="Trebuchet MS"/>
                <w:sz w:val="16"/>
                <w:szCs w:val="16"/>
              </w:rPr>
              <w:t>3645</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Di cui:</w:t>
            </w: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jc w:val="right"/>
              <w:rPr>
                <w:rFonts w:ascii="Calibri" w:hAnsi="Calibri" w:cs="Calibri"/>
              </w:rPr>
            </w:pP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Maschi</w:t>
            </w: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pPr>
              <w:autoSpaceDE w:val="0"/>
              <w:autoSpaceDN w:val="0"/>
              <w:adjustRightInd w:val="0"/>
              <w:spacing w:after="0" w:line="240" w:lineRule="auto"/>
              <w:jc w:val="right"/>
              <w:rPr>
                <w:rFonts w:ascii="Calibri" w:hAnsi="Calibri" w:cs="Calibri"/>
              </w:rPr>
            </w:pPr>
            <w:r w:rsidRPr="00CA3E73">
              <w:rPr>
                <w:rFonts w:ascii="Trebuchet MS" w:hAnsi="Trebuchet MS" w:cs="Trebuchet MS"/>
                <w:sz w:val="16"/>
                <w:szCs w:val="16"/>
              </w:rPr>
              <w:t>1798</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Femmine</w:t>
            </w: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pPr>
              <w:autoSpaceDE w:val="0"/>
              <w:autoSpaceDN w:val="0"/>
              <w:adjustRightInd w:val="0"/>
              <w:spacing w:after="0" w:line="240" w:lineRule="auto"/>
              <w:jc w:val="right"/>
              <w:rPr>
                <w:rFonts w:ascii="Calibri" w:hAnsi="Calibri" w:cs="Calibri"/>
              </w:rPr>
            </w:pPr>
            <w:r w:rsidRPr="00CA3E73">
              <w:rPr>
                <w:rFonts w:ascii="Trebuchet MS" w:hAnsi="Trebuchet MS" w:cs="Trebuchet MS"/>
                <w:sz w:val="16"/>
                <w:szCs w:val="16"/>
              </w:rPr>
              <w:t>1847</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jc w:val="right"/>
              <w:rPr>
                <w:rFonts w:ascii="Calibri" w:hAnsi="Calibri" w:cs="Calibri"/>
              </w:rPr>
            </w:pP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Nuclei familiari</w:t>
            </w: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CA3E73">
            <w:pPr>
              <w:autoSpaceDE w:val="0"/>
              <w:autoSpaceDN w:val="0"/>
              <w:adjustRightInd w:val="0"/>
              <w:spacing w:after="0" w:line="240" w:lineRule="auto"/>
              <w:jc w:val="right"/>
              <w:rPr>
                <w:rFonts w:ascii="Calibri" w:hAnsi="Calibri" w:cs="Calibri"/>
              </w:rPr>
            </w:pPr>
            <w:r w:rsidRPr="00CA3E73">
              <w:rPr>
                <w:rFonts w:ascii="Calibri" w:hAnsi="Calibri" w:cs="Calibri"/>
              </w:rPr>
              <w:t>1542</w:t>
            </w:r>
          </w:p>
        </w:tc>
      </w:tr>
      <w:tr w:rsidR="004854B0"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r w:rsidRPr="00CA3E73">
              <w:rPr>
                <w:rFonts w:ascii="Trebuchet MS" w:hAnsi="Trebuchet MS" w:cs="Trebuchet MS"/>
                <w:sz w:val="16"/>
                <w:szCs w:val="16"/>
              </w:rPr>
              <w:t>Comunità/Convivenze</w:t>
            </w: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4854B0" w:rsidRPr="00CA3E73" w:rsidRDefault="0036064B">
            <w:pPr>
              <w:autoSpaceDE w:val="0"/>
              <w:autoSpaceDN w:val="0"/>
              <w:adjustRightInd w:val="0"/>
              <w:spacing w:after="0" w:line="240" w:lineRule="auto"/>
              <w:jc w:val="right"/>
              <w:rPr>
                <w:rFonts w:ascii="Calibri" w:hAnsi="Calibri" w:cs="Calibri"/>
              </w:rPr>
            </w:pPr>
            <w:r w:rsidRPr="00CA3E73">
              <w:rPr>
                <w:rFonts w:ascii="Calibri" w:hAnsi="Calibri" w:cs="Calibri"/>
              </w:rPr>
              <w:t>2</w:t>
            </w:r>
          </w:p>
        </w:tc>
      </w:tr>
      <w:tr w:rsidR="004854B0" w:rsidRPr="00CA3E73" w:rsidTr="00CA3E73">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rPr>
                <w:rFonts w:ascii="Calibri" w:hAnsi="Calibri" w:cs="Calibri"/>
              </w:rPr>
            </w:pPr>
          </w:p>
        </w:tc>
        <w:tc>
          <w:tcPr>
            <w:tcW w:w="681"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4854B0" w:rsidRPr="00CA3E73" w:rsidRDefault="004854B0">
            <w:pPr>
              <w:autoSpaceDE w:val="0"/>
              <w:autoSpaceDN w:val="0"/>
              <w:adjustRightInd w:val="0"/>
              <w:spacing w:after="0" w:line="240" w:lineRule="auto"/>
              <w:jc w:val="right"/>
              <w:rPr>
                <w:rFonts w:ascii="Calibri" w:hAnsi="Calibri" w:cs="Calibri"/>
              </w:rPr>
            </w:pPr>
          </w:p>
        </w:tc>
      </w:tr>
      <w:tr w:rsidR="00CA3E73" w:rsidRPr="00CA3E73" w:rsidTr="00CA3E73">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r w:rsidRPr="00CA3E73">
              <w:rPr>
                <w:rFonts w:ascii="Calibri" w:hAnsi="Calibri" w:cs="Calibri"/>
              </w:rPr>
              <w:t>In età prescolare 0 – 5 anni</w:t>
            </w:r>
          </w:p>
        </w:tc>
        <w:tc>
          <w:tcPr>
            <w:tcW w:w="681"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jc w:val="right"/>
              <w:rPr>
                <w:rFonts w:ascii="Calibri" w:hAnsi="Calibri" w:cs="Calibri"/>
              </w:rPr>
            </w:pPr>
            <w:r w:rsidRPr="00CA3E73">
              <w:rPr>
                <w:rFonts w:ascii="Calibri" w:hAnsi="Calibri" w:cs="Calibri"/>
              </w:rPr>
              <w:t>182</w:t>
            </w:r>
          </w:p>
        </w:tc>
      </w:tr>
      <w:tr w:rsidR="00CA3E73" w:rsidRPr="00CA3E73" w:rsidTr="00CA3E73">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r w:rsidRPr="00CA3E73">
              <w:rPr>
                <w:rFonts w:ascii="Calibri" w:hAnsi="Calibri" w:cs="Calibri"/>
              </w:rPr>
              <w:t>In età scuola obbligo 6 – 14 anni</w:t>
            </w:r>
          </w:p>
        </w:tc>
        <w:tc>
          <w:tcPr>
            <w:tcW w:w="681"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jc w:val="right"/>
              <w:rPr>
                <w:rFonts w:ascii="Calibri" w:hAnsi="Calibri" w:cs="Calibri"/>
              </w:rPr>
            </w:pPr>
            <w:r w:rsidRPr="00CA3E73">
              <w:rPr>
                <w:rFonts w:ascii="Calibri" w:hAnsi="Calibri" w:cs="Calibri"/>
              </w:rPr>
              <w:t>261</w:t>
            </w:r>
          </w:p>
        </w:tc>
      </w:tr>
      <w:tr w:rsidR="00CA3E73" w:rsidRPr="00CA3E73" w:rsidTr="00CA3E73">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r w:rsidRPr="00CA3E73">
              <w:rPr>
                <w:rFonts w:ascii="Calibri" w:hAnsi="Calibri" w:cs="Calibri"/>
              </w:rPr>
              <w:t>In forza lavoro 15 - 29</w:t>
            </w:r>
          </w:p>
        </w:tc>
        <w:tc>
          <w:tcPr>
            <w:tcW w:w="681"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jc w:val="right"/>
              <w:rPr>
                <w:rFonts w:ascii="Calibri" w:hAnsi="Calibri" w:cs="Calibri"/>
              </w:rPr>
            </w:pPr>
            <w:r w:rsidRPr="00CA3E73">
              <w:rPr>
                <w:rFonts w:ascii="Calibri" w:hAnsi="Calibri" w:cs="Calibri"/>
              </w:rPr>
              <w:t>497</w:t>
            </w:r>
          </w:p>
        </w:tc>
      </w:tr>
      <w:tr w:rsidR="00CA3E73" w:rsidRPr="00CA3E73" w:rsidTr="00CA3E73">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r w:rsidRPr="00CA3E73">
              <w:rPr>
                <w:rFonts w:ascii="Calibri" w:hAnsi="Calibri" w:cs="Calibri"/>
              </w:rPr>
              <w:t xml:space="preserve">In età </w:t>
            </w:r>
            <w:proofErr w:type="spellStart"/>
            <w:r w:rsidRPr="00CA3E73">
              <w:rPr>
                <w:rFonts w:ascii="Calibri" w:hAnsi="Calibri" w:cs="Calibri"/>
              </w:rPr>
              <w:t>adultà</w:t>
            </w:r>
            <w:proofErr w:type="spellEnd"/>
            <w:r w:rsidRPr="00CA3E73">
              <w:rPr>
                <w:rFonts w:ascii="Calibri" w:hAnsi="Calibri" w:cs="Calibri"/>
              </w:rPr>
              <w:t xml:space="preserve"> 30 - 64</w:t>
            </w:r>
          </w:p>
        </w:tc>
        <w:tc>
          <w:tcPr>
            <w:tcW w:w="681"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jc w:val="right"/>
              <w:rPr>
                <w:rFonts w:ascii="Calibri" w:hAnsi="Calibri" w:cs="Calibri"/>
              </w:rPr>
            </w:pPr>
            <w:r w:rsidRPr="00CA3E73">
              <w:rPr>
                <w:rFonts w:ascii="Calibri" w:hAnsi="Calibri" w:cs="Calibri"/>
              </w:rPr>
              <w:t>1826</w:t>
            </w:r>
          </w:p>
        </w:tc>
      </w:tr>
      <w:tr w:rsidR="00CA3E73" w:rsidRPr="00CA3E73" w:rsidTr="00543A29">
        <w:tblPrEx>
          <w:tblCellMar>
            <w:left w:w="28" w:type="dxa"/>
            <w:right w:w="28" w:type="dxa"/>
          </w:tblCellMar>
        </w:tblPrEx>
        <w:trPr>
          <w:trHeight w:val="266"/>
        </w:trPr>
        <w:tc>
          <w:tcPr>
            <w:tcW w:w="788" w:type="pct"/>
            <w:tcBorders>
              <w:top w:val="single" w:sz="2" w:space="0" w:color="000000"/>
              <w:left w:val="single" w:sz="2" w:space="0" w:color="000000"/>
              <w:bottom w:val="single" w:sz="2" w:space="0" w:color="000000"/>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2085"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218"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p>
        </w:tc>
        <w:tc>
          <w:tcPr>
            <w:tcW w:w="1227"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rPr>
                <w:rFonts w:ascii="Calibri" w:hAnsi="Calibri" w:cs="Calibri"/>
              </w:rPr>
            </w:pPr>
            <w:r w:rsidRPr="00CA3E73">
              <w:rPr>
                <w:rFonts w:ascii="Calibri" w:hAnsi="Calibri" w:cs="Calibri"/>
              </w:rPr>
              <w:t>In età senile oltre 65</w:t>
            </w:r>
          </w:p>
        </w:tc>
        <w:tc>
          <w:tcPr>
            <w:tcW w:w="681" w:type="pct"/>
            <w:tcBorders>
              <w:top w:val="single" w:sz="2" w:space="0" w:color="000000"/>
              <w:left w:val="single" w:sz="2" w:space="0" w:color="000000"/>
              <w:bottom w:val="single" w:sz="4" w:space="0" w:color="CCCCCC"/>
              <w:right w:val="single" w:sz="2" w:space="0" w:color="000000"/>
            </w:tcBorders>
            <w:shd w:val="clear" w:color="000000" w:fill="auto"/>
            <w:vAlign w:val="bottom"/>
          </w:tcPr>
          <w:p w:rsidR="00CA3E73" w:rsidRPr="00CA3E73" w:rsidRDefault="00CA3E73">
            <w:pPr>
              <w:autoSpaceDE w:val="0"/>
              <w:autoSpaceDN w:val="0"/>
              <w:adjustRightInd w:val="0"/>
              <w:spacing w:after="0" w:line="240" w:lineRule="auto"/>
              <w:jc w:val="right"/>
              <w:rPr>
                <w:rFonts w:ascii="Calibri" w:hAnsi="Calibri" w:cs="Calibri"/>
              </w:rPr>
            </w:pPr>
            <w:r w:rsidRPr="00CA3E73">
              <w:rPr>
                <w:rFonts w:ascii="Calibri" w:hAnsi="Calibri" w:cs="Calibri"/>
              </w:rPr>
              <w:t>878</w:t>
            </w:r>
          </w:p>
        </w:tc>
      </w:tr>
    </w:tbl>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sidRPr="00CA3E73">
        <w:rPr>
          <w:rFonts w:ascii="Trebuchet MS" w:hAnsi="Trebuchet MS" w:cs="Trebuchet MS"/>
          <w:i/>
          <w:iCs/>
          <w:color w:val="847764"/>
          <w:sz w:val="18"/>
          <w:szCs w:val="18"/>
        </w:rPr>
        <w:t>Tabella : Quadro generale della popolazione</w:t>
      </w:r>
    </w:p>
    <w:p w:rsidR="00CA3E73" w:rsidRDefault="00CA3E73" w:rsidP="00CA3E73">
      <w:pPr>
        <w:pStyle w:val="NormaleWeb"/>
        <w:spacing w:after="0" w:line="360" w:lineRule="auto"/>
        <w:ind w:firstLine="539"/>
      </w:pPr>
      <w:r>
        <w:rPr>
          <w:rFonts w:ascii="Trebuchet MS" w:hAnsi="Trebuchet MS"/>
          <w:sz w:val="20"/>
          <w:szCs w:val="20"/>
        </w:rPr>
        <w:lastRenderedPageBreak/>
        <w:t>La composizione delle famiglie per numero di componenti è la seguente:</w:t>
      </w:r>
    </w:p>
    <w:p w:rsidR="00CA3E73" w:rsidRDefault="00CA3E73" w:rsidP="004854B0">
      <w:pPr>
        <w:autoSpaceDE w:val="0"/>
        <w:autoSpaceDN w:val="0"/>
        <w:adjustRightInd w:val="0"/>
        <w:spacing w:before="113" w:after="397" w:line="240" w:lineRule="auto"/>
        <w:rPr>
          <w:rFonts w:ascii="Trebuchet MS" w:hAnsi="Trebuchet MS" w:cs="Trebuchet MS"/>
          <w:i/>
          <w:iCs/>
          <w:color w:val="847764"/>
          <w:sz w:val="18"/>
          <w:szCs w:val="18"/>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3374"/>
        <w:gridCol w:w="3374"/>
        <w:gridCol w:w="3374"/>
      </w:tblGrid>
      <w:tr w:rsidR="00CA3E73" w:rsidRPr="00CA3E73" w:rsidTr="00CA3E73">
        <w:trPr>
          <w:trHeight w:val="210"/>
          <w:tblCellSpacing w:w="0" w:type="dxa"/>
        </w:trPr>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10" w:lineRule="atLeast"/>
              <w:jc w:val="center"/>
              <w:rPr>
                <w:rFonts w:ascii="Times New Roman" w:eastAsia="Times New Roman" w:hAnsi="Times New Roman" w:cs="Times New Roman"/>
                <w:sz w:val="24"/>
                <w:szCs w:val="24"/>
              </w:rPr>
            </w:pPr>
            <w:proofErr w:type="spellStart"/>
            <w:r w:rsidRPr="00CA3E73">
              <w:rPr>
                <w:rFonts w:ascii="Trebuchet MS" w:eastAsia="Times New Roman" w:hAnsi="Trebuchet MS" w:cs="Times New Roman"/>
                <w:b/>
                <w:bCs/>
                <w:sz w:val="16"/>
                <w:szCs w:val="16"/>
              </w:rPr>
              <w:t>Nr</w:t>
            </w:r>
            <w:proofErr w:type="spellEnd"/>
            <w:r w:rsidRPr="00CA3E73">
              <w:rPr>
                <w:rFonts w:ascii="Trebuchet MS" w:eastAsia="Times New Roman" w:hAnsi="Trebuchet MS" w:cs="Times New Roman"/>
                <w:b/>
                <w:bCs/>
                <w:sz w:val="16"/>
                <w:szCs w:val="16"/>
              </w:rPr>
              <w:t xml:space="preserve"> Componenti</w:t>
            </w:r>
          </w:p>
        </w:tc>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10" w:lineRule="atLeast"/>
              <w:jc w:val="center"/>
              <w:rPr>
                <w:rFonts w:ascii="Times New Roman" w:eastAsia="Times New Roman" w:hAnsi="Times New Roman" w:cs="Times New Roman"/>
                <w:sz w:val="24"/>
                <w:szCs w:val="24"/>
              </w:rPr>
            </w:pPr>
            <w:proofErr w:type="spellStart"/>
            <w:r w:rsidRPr="00CA3E73">
              <w:rPr>
                <w:rFonts w:ascii="Trebuchet MS" w:eastAsia="Times New Roman" w:hAnsi="Trebuchet MS" w:cs="Times New Roman"/>
                <w:b/>
                <w:bCs/>
                <w:sz w:val="16"/>
                <w:szCs w:val="16"/>
              </w:rPr>
              <w:t>Nr</w:t>
            </w:r>
            <w:proofErr w:type="spellEnd"/>
            <w:r w:rsidRPr="00CA3E73">
              <w:rPr>
                <w:rFonts w:ascii="Trebuchet MS" w:eastAsia="Times New Roman" w:hAnsi="Trebuchet MS" w:cs="Times New Roman"/>
                <w:b/>
                <w:bCs/>
                <w:sz w:val="16"/>
                <w:szCs w:val="16"/>
              </w:rPr>
              <w:t xml:space="preserve"> Famiglie</w:t>
            </w:r>
          </w:p>
        </w:tc>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10"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b/>
                <w:bCs/>
                <w:sz w:val="16"/>
                <w:szCs w:val="16"/>
              </w:rPr>
              <w:t>Composizione %</w:t>
            </w:r>
          </w:p>
        </w:tc>
      </w:tr>
      <w:tr w:rsidR="00CA3E73" w:rsidRPr="00CA3E73" w:rsidTr="00CA3E73">
        <w:trPr>
          <w:tblCellSpacing w:w="0" w:type="dxa"/>
        </w:trPr>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40" w:lineRule="auto"/>
              <w:jc w:val="center"/>
              <w:rPr>
                <w:rFonts w:ascii="Times New Roman" w:eastAsia="Times New Roman" w:hAnsi="Times New Roman" w:cs="Times New Roman"/>
                <w:sz w:val="24"/>
                <w:szCs w:val="24"/>
              </w:rPr>
            </w:pP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40" w:lineRule="auto"/>
              <w:jc w:val="center"/>
              <w:rPr>
                <w:rFonts w:ascii="Times New Roman" w:eastAsia="Times New Roman" w:hAnsi="Times New Roman" w:cs="Times New Roman"/>
                <w:sz w:val="24"/>
                <w:szCs w:val="24"/>
              </w:rPr>
            </w:pP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40" w:lineRule="auto"/>
              <w:jc w:val="center"/>
              <w:rPr>
                <w:rFonts w:ascii="Times New Roman" w:eastAsia="Times New Roman" w:hAnsi="Times New Roman" w:cs="Times New Roman"/>
                <w:sz w:val="24"/>
                <w:szCs w:val="24"/>
              </w:rPr>
            </w:pPr>
          </w:p>
        </w:tc>
      </w:tr>
      <w:tr w:rsidR="00CA3E73" w:rsidRPr="00CA3E73" w:rsidTr="00CA3E73">
        <w:trPr>
          <w:trHeight w:val="225"/>
          <w:tblCellSpacing w:w="0" w:type="dxa"/>
        </w:trPr>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1</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452</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28,94%</w:t>
            </w:r>
          </w:p>
        </w:tc>
      </w:tr>
      <w:tr w:rsidR="00CA3E73" w:rsidRPr="00CA3E73" w:rsidTr="00CA3E73">
        <w:trPr>
          <w:trHeight w:val="225"/>
          <w:tblCellSpacing w:w="0" w:type="dxa"/>
        </w:trPr>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2</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517</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33,10%</w:t>
            </w:r>
          </w:p>
        </w:tc>
      </w:tr>
      <w:tr w:rsidR="00CA3E73" w:rsidRPr="00CA3E73" w:rsidTr="00CA3E73">
        <w:trPr>
          <w:trHeight w:val="225"/>
          <w:tblCellSpacing w:w="0" w:type="dxa"/>
        </w:trPr>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3</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325</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20,81%</w:t>
            </w:r>
          </w:p>
        </w:tc>
      </w:tr>
      <w:tr w:rsidR="00CA3E73" w:rsidRPr="00CA3E73" w:rsidTr="00CA3E73">
        <w:trPr>
          <w:trHeight w:val="225"/>
          <w:tblCellSpacing w:w="0" w:type="dxa"/>
        </w:trPr>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4</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237</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15,17%</w:t>
            </w:r>
          </w:p>
        </w:tc>
      </w:tr>
      <w:tr w:rsidR="00CA3E73" w:rsidRPr="00CA3E73" w:rsidTr="00CA3E73">
        <w:trPr>
          <w:trHeight w:val="225"/>
          <w:tblCellSpacing w:w="0" w:type="dxa"/>
        </w:trPr>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5 e più</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31</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25"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1,98%</w:t>
            </w:r>
          </w:p>
        </w:tc>
      </w:tr>
      <w:tr w:rsidR="00CA3E73" w:rsidRPr="00CA3E73" w:rsidTr="00CA3E73">
        <w:trPr>
          <w:tblCellSpacing w:w="0" w:type="dxa"/>
        </w:trPr>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40" w:lineRule="auto"/>
              <w:jc w:val="center"/>
              <w:rPr>
                <w:rFonts w:ascii="Times New Roman" w:eastAsia="Times New Roman" w:hAnsi="Times New Roman" w:cs="Times New Roman"/>
                <w:sz w:val="24"/>
                <w:szCs w:val="24"/>
              </w:rPr>
            </w:pP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40" w:lineRule="auto"/>
              <w:jc w:val="center"/>
              <w:rPr>
                <w:rFonts w:ascii="Times New Roman" w:eastAsia="Times New Roman" w:hAnsi="Times New Roman" w:cs="Times New Roman"/>
                <w:sz w:val="24"/>
                <w:szCs w:val="24"/>
              </w:rPr>
            </w:pP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40" w:lineRule="auto"/>
              <w:jc w:val="center"/>
              <w:rPr>
                <w:rFonts w:ascii="Times New Roman" w:eastAsia="Times New Roman" w:hAnsi="Times New Roman" w:cs="Times New Roman"/>
                <w:sz w:val="24"/>
                <w:szCs w:val="24"/>
              </w:rPr>
            </w:pPr>
          </w:p>
        </w:tc>
      </w:tr>
      <w:tr w:rsidR="00CA3E73" w:rsidRPr="00CA3E73" w:rsidTr="00CA3E73">
        <w:trPr>
          <w:trHeight w:val="210"/>
          <w:tblCellSpacing w:w="0" w:type="dxa"/>
        </w:trPr>
        <w:tc>
          <w:tcPr>
            <w:tcW w:w="165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119" w:line="210" w:lineRule="atLeast"/>
              <w:jc w:val="right"/>
              <w:rPr>
                <w:rFonts w:ascii="Times New Roman" w:eastAsia="Times New Roman" w:hAnsi="Times New Roman" w:cs="Times New Roman"/>
                <w:sz w:val="24"/>
                <w:szCs w:val="24"/>
              </w:rPr>
            </w:pPr>
            <w:r w:rsidRPr="00CA3E73">
              <w:rPr>
                <w:rFonts w:ascii="Trebuchet MS" w:eastAsia="Times New Roman" w:hAnsi="Trebuchet MS" w:cs="Times New Roman"/>
                <w:b/>
                <w:bCs/>
                <w:sz w:val="16"/>
                <w:szCs w:val="16"/>
              </w:rPr>
              <w:t>TOTALE</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10" w:lineRule="atLeast"/>
              <w:jc w:val="center"/>
              <w:rPr>
                <w:rFonts w:ascii="Times New Roman" w:eastAsia="Times New Roman" w:hAnsi="Times New Roman" w:cs="Times New Roman"/>
                <w:sz w:val="24"/>
                <w:szCs w:val="24"/>
              </w:rPr>
            </w:pPr>
            <w:r w:rsidRPr="00CA3E73">
              <w:rPr>
                <w:rFonts w:ascii="Trebuchet MS" w:eastAsia="Times New Roman" w:hAnsi="Trebuchet MS" w:cs="Times New Roman"/>
                <w:b/>
                <w:bCs/>
                <w:sz w:val="16"/>
                <w:szCs w:val="16"/>
              </w:rPr>
              <w:t>1562</w:t>
            </w:r>
          </w:p>
        </w:tc>
        <w:tc>
          <w:tcPr>
            <w:tcW w:w="1650" w:type="pct"/>
            <w:tcBorders>
              <w:top w:val="outset" w:sz="6" w:space="0" w:color="CCCCCC"/>
              <w:left w:val="outset" w:sz="6" w:space="0" w:color="CCCCCC"/>
              <w:bottom w:val="outset" w:sz="6" w:space="0" w:color="CCCCCC"/>
              <w:right w:val="outset" w:sz="6" w:space="0" w:color="CCCCCC"/>
            </w:tcBorders>
            <w:hideMark/>
          </w:tcPr>
          <w:p w:rsidR="00CA3E73" w:rsidRPr="00CA3E73" w:rsidRDefault="00CA3E73" w:rsidP="00CA3E73">
            <w:pPr>
              <w:spacing w:before="100" w:beforeAutospacing="1" w:after="119" w:line="240" w:lineRule="auto"/>
              <w:jc w:val="center"/>
              <w:rPr>
                <w:rFonts w:ascii="Times New Roman" w:eastAsia="Times New Roman" w:hAnsi="Times New Roman" w:cs="Times New Roman"/>
                <w:szCs w:val="24"/>
              </w:rPr>
            </w:pPr>
          </w:p>
        </w:tc>
      </w:tr>
    </w:tbl>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Default="00CA3E73" w:rsidP="004854B0">
      <w:pPr>
        <w:autoSpaceDE w:val="0"/>
        <w:autoSpaceDN w:val="0"/>
        <w:adjustRightInd w:val="0"/>
        <w:spacing w:after="0" w:line="360" w:lineRule="auto"/>
        <w:ind w:firstLine="539"/>
        <w:jc w:val="both"/>
        <w:rPr>
          <w:rFonts w:ascii="Calibri" w:hAnsi="Calibri" w:cs="Calibri"/>
        </w:rPr>
      </w:pPr>
      <w:r>
        <w:rPr>
          <w:rFonts w:ascii="Calibri" w:hAnsi="Calibri" w:cs="Calibri"/>
          <w:noProof/>
        </w:rPr>
        <w:drawing>
          <wp:inline distT="0" distB="0" distL="0" distR="0">
            <wp:extent cx="5762625" cy="3238500"/>
            <wp:effectExtent l="0" t="0" r="0" b="0"/>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762625" cy="3238500"/>
                    </a:xfrm>
                    <a:prstGeom prst="rect">
                      <a:avLst/>
                    </a:prstGeom>
                    <a:noFill/>
                    <a:ln w="9525">
                      <a:noFill/>
                      <a:miter lim="800000"/>
                      <a:headEnd/>
                      <a:tailEnd/>
                    </a:ln>
                  </pic:spPr>
                </pic:pic>
              </a:graphicData>
            </a:graphic>
          </wp:inline>
        </w:drawing>
      </w:r>
    </w:p>
    <w:p w:rsidR="00DD0BB8" w:rsidRDefault="00DD0BB8" w:rsidP="004854B0">
      <w:pPr>
        <w:autoSpaceDE w:val="0"/>
        <w:autoSpaceDN w:val="0"/>
        <w:adjustRightInd w:val="0"/>
        <w:spacing w:after="0" w:line="360" w:lineRule="auto"/>
        <w:ind w:firstLine="539"/>
        <w:jc w:val="both"/>
        <w:rPr>
          <w:rFonts w:ascii="Calibri" w:hAnsi="Calibri" w:cs="Calibri"/>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7007"/>
        <w:gridCol w:w="156"/>
        <w:gridCol w:w="2959"/>
      </w:tblGrid>
      <w:tr w:rsidR="00CA3E73" w:rsidRPr="00CA3E73" w:rsidTr="00CA3E73">
        <w:trPr>
          <w:tblHeader/>
          <w:tblCellSpacing w:w="0" w:type="dxa"/>
        </w:trPr>
        <w:tc>
          <w:tcPr>
            <w:tcW w:w="3500" w:type="pct"/>
            <w:vMerge w:val="restar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imes New Roman" w:eastAsia="Times New Roman" w:hAnsi="Times New Roman" w:cs="Times New Roman"/>
                <w:sz w:val="24"/>
                <w:szCs w:val="24"/>
              </w:rPr>
            </w:pPr>
            <w:r w:rsidRPr="00CA3E73">
              <w:rPr>
                <w:rFonts w:ascii="Trebuchet MS" w:eastAsia="Times New Roman" w:hAnsi="Trebuchet MS" w:cs="Times New Roman"/>
                <w:b/>
                <w:bCs/>
                <w:sz w:val="16"/>
                <w:szCs w:val="16"/>
              </w:rPr>
              <w:t>Classe di età</w:t>
            </w:r>
          </w:p>
        </w:tc>
        <w:tc>
          <w:tcPr>
            <w:tcW w:w="0" w:type="pct"/>
            <w:vMerge w:val="restar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imes New Roman" w:eastAsia="Times New Roman" w:hAnsi="Times New Roman" w:cs="Times New Roman"/>
                <w:sz w:val="24"/>
                <w:szCs w:val="24"/>
              </w:rPr>
            </w:pPr>
          </w:p>
        </w:tc>
      </w:tr>
      <w:tr w:rsidR="00CA3E73" w:rsidRPr="00CA3E73" w:rsidTr="00CA3E73">
        <w:trPr>
          <w:tblHeader/>
          <w:tblCellSpacing w:w="0" w:type="dxa"/>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after="0" w:line="240" w:lineRule="auto"/>
              <w:rPr>
                <w:rFonts w:ascii="Times New Roman" w:eastAsia="Times New Roman" w:hAnsi="Times New Roman" w:cs="Times New Roman"/>
                <w:sz w:val="24"/>
                <w:szCs w:val="24"/>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imes New Roman" w:eastAsia="Times New Roman" w:hAnsi="Times New Roman" w:cs="Times New Roman"/>
                <w:sz w:val="24"/>
                <w:szCs w:val="24"/>
              </w:rPr>
            </w:pPr>
            <w:r w:rsidRPr="00CA3E73">
              <w:rPr>
                <w:rFonts w:ascii="Trebuchet MS" w:eastAsia="Times New Roman" w:hAnsi="Trebuchet MS" w:cs="Times New Roman"/>
                <w:b/>
                <w:bCs/>
                <w:sz w:val="16"/>
                <w:szCs w:val="16"/>
              </w:rPr>
              <w:t>Città storica</w:t>
            </w:r>
          </w:p>
        </w:tc>
      </w:tr>
      <w:tr w:rsidR="00CA3E73" w:rsidRPr="00CA3E73" w:rsidTr="00CA3E73">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-1 anno</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28</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1-4</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123</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5-9</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154</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lastRenderedPageBreak/>
              <w:t>10-14</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138</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15-19</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125</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20-24</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169</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25-29</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203</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30-34</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264</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35-39</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235</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40-44</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265</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45-49</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279</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50-54</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307</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55-59</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241</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60-64</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236</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65-69</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229</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70-74</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177</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75-79</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179</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80-84</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151</w:t>
            </w: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sz w:val="16"/>
                <w:szCs w:val="16"/>
              </w:rPr>
              <w:t>85 e +</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r w:rsidRPr="00CA3E73">
              <w:rPr>
                <w:rFonts w:ascii="Trebuchet MS" w:eastAsia="Times New Roman" w:hAnsi="Trebuchet MS" w:cs="Times New Roman"/>
                <w:sz w:val="16"/>
                <w:szCs w:val="16"/>
              </w:rPr>
              <w:t>142</w:t>
            </w:r>
          </w:p>
        </w:tc>
      </w:tr>
      <w:tr w:rsidR="00CA3E73" w:rsidRPr="00CA3E73" w:rsidTr="00CA3E73">
        <w:trPr>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r>
      <w:tr w:rsidR="00CA3E73" w:rsidRPr="00CA3E73" w:rsidTr="00CA3E73">
        <w:trPr>
          <w:trHeight w:val="195"/>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b/>
                <w:bCs/>
                <w:sz w:val="16"/>
                <w:szCs w:val="16"/>
              </w:rPr>
              <w:t>Totale</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95" w:lineRule="atLeast"/>
              <w:rPr>
                <w:rFonts w:ascii="Times New Roman" w:eastAsia="Times New Roman" w:hAnsi="Times New Roman" w:cs="Times New Roman"/>
                <w:sz w:val="24"/>
                <w:szCs w:val="24"/>
              </w:rPr>
            </w:pPr>
            <w:r w:rsidRPr="00CA3E73">
              <w:rPr>
                <w:rFonts w:ascii="Trebuchet MS" w:eastAsia="Times New Roman" w:hAnsi="Trebuchet MS" w:cs="Times New Roman"/>
                <w:b/>
                <w:bCs/>
                <w:sz w:val="16"/>
                <w:szCs w:val="16"/>
              </w:rPr>
              <w:t>3645</w:t>
            </w:r>
          </w:p>
        </w:tc>
      </w:tr>
      <w:tr w:rsidR="00CA3E73" w:rsidRPr="00CA3E73" w:rsidTr="00CA3E73">
        <w:trPr>
          <w:trHeight w:val="180"/>
          <w:tblCellSpacing w:w="0" w:type="dxa"/>
        </w:trPr>
        <w:tc>
          <w:tcPr>
            <w:tcW w:w="3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80" w:lineRule="atLeast"/>
              <w:rPr>
                <w:rFonts w:ascii="Times New Roman" w:eastAsia="Times New Roman" w:hAnsi="Times New Roman" w:cs="Times New Roman"/>
                <w:sz w:val="24"/>
                <w:szCs w:val="24"/>
              </w:rPr>
            </w:pPr>
            <w:r w:rsidRPr="00CA3E73">
              <w:rPr>
                <w:rFonts w:ascii="Trebuchet MS" w:eastAsia="Times New Roman" w:hAnsi="Trebuchet MS" w:cs="Times New Roman"/>
                <w:b/>
                <w:bCs/>
                <w:sz w:val="16"/>
                <w:szCs w:val="16"/>
              </w:rPr>
              <w:t>Età media</w:t>
            </w:r>
          </w:p>
        </w:tc>
        <w:tc>
          <w:tcPr>
            <w:tcW w:w="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240" w:lineRule="auto"/>
              <w:rPr>
                <w:rFonts w:ascii="Trebuchet MS" w:eastAsia="Times New Roman" w:hAnsi="Trebuchet MS" w:cs="Times New Roman"/>
                <w:sz w:val="16"/>
                <w:szCs w:val="16"/>
              </w:rPr>
            </w:pPr>
          </w:p>
        </w:tc>
        <w:tc>
          <w:tcPr>
            <w:tcW w:w="1500" w:type="pct"/>
            <w:tcBorders>
              <w:top w:val="outset" w:sz="6" w:space="0" w:color="CCCCCC"/>
              <w:left w:val="outset" w:sz="6" w:space="0" w:color="CCCCCC"/>
              <w:bottom w:val="outset" w:sz="6" w:space="0" w:color="CCCCCC"/>
              <w:right w:val="outset" w:sz="6" w:space="0" w:color="CCCCCC"/>
            </w:tcBorders>
            <w:vAlign w:val="center"/>
            <w:hideMark/>
          </w:tcPr>
          <w:p w:rsidR="00CA3E73" w:rsidRPr="00CA3E73" w:rsidRDefault="00CA3E73" w:rsidP="00CA3E73">
            <w:pPr>
              <w:spacing w:before="100" w:beforeAutospacing="1" w:after="0" w:line="180" w:lineRule="atLeast"/>
              <w:rPr>
                <w:rFonts w:ascii="Times New Roman" w:eastAsia="Times New Roman" w:hAnsi="Times New Roman" w:cs="Times New Roman"/>
                <w:sz w:val="24"/>
                <w:szCs w:val="24"/>
              </w:rPr>
            </w:pPr>
            <w:r w:rsidRPr="00CA3E73">
              <w:rPr>
                <w:rFonts w:ascii="Trebuchet MS" w:eastAsia="Times New Roman" w:hAnsi="Trebuchet MS" w:cs="Times New Roman"/>
                <w:b/>
                <w:bCs/>
                <w:sz w:val="16"/>
                <w:szCs w:val="16"/>
              </w:rPr>
              <w:t>45,81</w:t>
            </w:r>
          </w:p>
        </w:tc>
      </w:tr>
    </w:tbl>
    <w:p w:rsidR="00CA3E73" w:rsidRDefault="00CA3E73" w:rsidP="004854B0">
      <w:pPr>
        <w:autoSpaceDE w:val="0"/>
        <w:autoSpaceDN w:val="0"/>
        <w:adjustRightInd w:val="0"/>
        <w:spacing w:after="0" w:line="360" w:lineRule="auto"/>
        <w:ind w:firstLine="539"/>
        <w:jc w:val="both"/>
        <w:rPr>
          <w:rFonts w:ascii="Calibri" w:hAnsi="Calibri" w:cs="Calibri"/>
        </w:rPr>
      </w:pPr>
    </w:p>
    <w:p w:rsidR="00DD0BB8" w:rsidRDefault="00DD0BB8" w:rsidP="004854B0">
      <w:pPr>
        <w:autoSpaceDE w:val="0"/>
        <w:autoSpaceDN w:val="0"/>
        <w:adjustRightInd w:val="0"/>
        <w:spacing w:after="0" w:line="360" w:lineRule="auto"/>
        <w:ind w:firstLine="539"/>
        <w:jc w:val="both"/>
        <w:rPr>
          <w:rFonts w:ascii="Calibri" w:hAnsi="Calibri" w:cs="Calibri"/>
        </w:rPr>
      </w:pPr>
    </w:p>
    <w:p w:rsidR="00DD0BB8" w:rsidRDefault="00DD0BB8" w:rsidP="004854B0">
      <w:pPr>
        <w:autoSpaceDE w:val="0"/>
        <w:autoSpaceDN w:val="0"/>
        <w:adjustRightInd w:val="0"/>
        <w:spacing w:after="0" w:line="360" w:lineRule="auto"/>
        <w:ind w:firstLine="539"/>
        <w:jc w:val="both"/>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Situazione socio-economica</w:t>
      </w:r>
    </w:p>
    <w:p w:rsidR="004854B0" w:rsidRDefault="004854B0" w:rsidP="004854B0">
      <w:pPr>
        <w:autoSpaceDE w:val="0"/>
        <w:autoSpaceDN w:val="0"/>
        <w:adjustRightInd w:val="0"/>
        <w:spacing w:after="0" w:line="360" w:lineRule="auto"/>
        <w:jc w:val="both"/>
        <w:rPr>
          <w:rFonts w:ascii="Calibri" w:hAnsi="Calibri" w:cs="Calibri"/>
        </w:rPr>
      </w:pP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Le condizioni e prospettive socio-economiche diventano particolarmente significative quando vengono lette in chiave di "benessere equo sostenibile della città” per misurare e confrontare vari indicatori di benessere urbano equo e sostenibile.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natura multidimensionale del benessere richiede il coinvolgimento degli attori sociali ed economici e della comunità scientifica nella scelta delle dimensioni del benessere e delle correlate misure. La legittimazione del sistema degli indicatori, attraverso il processo di coinvolgimento degli attori sociali, costituisce un elemento essenziale per l’identificazione di possibili priorità per l’azione politica.</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Questo approccio si basa sulla considerazione che la misurazione del benessere di una società ha due componenti: la prima, prettamente politica, riguarda i contenuti del concetto di benessere; la seconda, di carattere </w:t>
      </w:r>
      <w:proofErr w:type="spellStart"/>
      <w:r>
        <w:rPr>
          <w:rFonts w:ascii="Trebuchet MS" w:hAnsi="Trebuchet MS" w:cs="Trebuchet MS"/>
          <w:sz w:val="21"/>
          <w:szCs w:val="21"/>
        </w:rPr>
        <w:t>tecnico–statistico</w:t>
      </w:r>
      <w:proofErr w:type="spellEnd"/>
      <w:r>
        <w:rPr>
          <w:rFonts w:ascii="Trebuchet MS" w:hAnsi="Trebuchet MS" w:cs="Trebuchet MS"/>
          <w:sz w:val="21"/>
          <w:szCs w:val="21"/>
        </w:rPr>
        <w:t>, concerne la misura dei concetti ritenuti rilevanti.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lastRenderedPageBreak/>
        <w:t>I parametri sui quali valutare il progresso di una società non devono essere solo di carattere economico, ma anche sociale e ambientale, corredati da misure di diseguaglianza e sostenibilità. Esistono progetti in ambito nazionale che hanno preso in considerazione vari domini e numerosi indicatori che coprono i seguenti ambiti:</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Salute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Istruzione e formazione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Lavoro e conciliazione dei tempi di vita</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Benessere economico</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Relazioni sociali</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Politica e istituzioni</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Sicurezza</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Benessere soggettivo</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Paesaggio e patrimonio culturale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Ambiente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Ricerca e innovazione</w:t>
      </w:r>
    </w:p>
    <w:p w:rsidR="004854B0" w:rsidRDefault="004854B0" w:rsidP="004854B0">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Qualità dei servizi</w:t>
      </w:r>
    </w:p>
    <w:p w:rsidR="004854B0" w:rsidRDefault="004854B0" w:rsidP="004854B0">
      <w:pPr>
        <w:autoSpaceDE w:val="0"/>
        <w:autoSpaceDN w:val="0"/>
        <w:adjustRightInd w:val="0"/>
        <w:spacing w:after="0" w:line="360" w:lineRule="auto"/>
        <w:jc w:val="both"/>
        <w:rPr>
          <w:rFonts w:ascii="Calibri" w:hAnsi="Calibri" w:cs="Calibri"/>
        </w:rPr>
      </w:pPr>
    </w:p>
    <w:p w:rsidR="004854B0" w:rsidRDefault="004854B0" w:rsidP="004854B0">
      <w:pPr>
        <w:autoSpaceDE w:val="0"/>
        <w:autoSpaceDN w:val="0"/>
        <w:adjustRightInd w:val="0"/>
        <w:spacing w:after="0" w:line="360" w:lineRule="auto"/>
        <w:jc w:val="both"/>
        <w:rPr>
          <w:rFonts w:ascii="Calibri" w:hAnsi="Calibri" w:cs="Calibri"/>
        </w:rPr>
      </w:pPr>
    </w:p>
    <w:p w:rsidR="004854B0" w:rsidRDefault="004854B0" w:rsidP="004854B0">
      <w:pPr>
        <w:autoSpaceDE w:val="0"/>
        <w:autoSpaceDN w:val="0"/>
        <w:adjustRightInd w:val="0"/>
        <w:spacing w:after="0" w:line="360" w:lineRule="auto"/>
        <w:jc w:val="both"/>
        <w:rPr>
          <w:rFonts w:ascii="Calibri" w:hAnsi="Calibri" w:cs="Calibri"/>
        </w:rPr>
      </w:pPr>
    </w:p>
    <w:p w:rsidR="004854B0" w:rsidRDefault="004854B0" w:rsidP="004854B0">
      <w:pPr>
        <w:autoSpaceDE w:val="0"/>
        <w:autoSpaceDN w:val="0"/>
        <w:adjustRightInd w:val="0"/>
        <w:spacing w:after="0" w:line="360" w:lineRule="auto"/>
        <w:jc w:val="both"/>
        <w:rPr>
          <w:rFonts w:ascii="Calibri" w:hAnsi="Calibri" w:cs="Calibri"/>
        </w:rPr>
      </w:pPr>
    </w:p>
    <w:p w:rsidR="004854B0" w:rsidRDefault="004854B0" w:rsidP="004854B0">
      <w:pPr>
        <w:autoSpaceDE w:val="0"/>
        <w:autoSpaceDN w:val="0"/>
        <w:adjustRightInd w:val="0"/>
        <w:spacing w:before="113" w:after="850" w:line="240" w:lineRule="auto"/>
        <w:ind w:firstLine="539"/>
        <w:rPr>
          <w:rFonts w:ascii="Trebuchet MS" w:hAnsi="Trebuchet MS" w:cs="Trebuchet MS"/>
          <w:color w:val="000000"/>
          <w:sz w:val="48"/>
          <w:szCs w:val="48"/>
          <w:highlight w:val="white"/>
        </w:rPr>
      </w:pPr>
      <w:r>
        <w:rPr>
          <w:rFonts w:ascii="Trebuchet MS" w:hAnsi="Trebuchet MS" w:cs="Trebuchet MS"/>
          <w:color w:val="000000"/>
          <w:sz w:val="48"/>
          <w:szCs w:val="48"/>
          <w:highlight w:val="white"/>
        </w:rPr>
        <w:t>Quadro delle condizioni interne all'ente</w:t>
      </w: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Evoluzione delle situazione finanziaria dell'ente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Al fine di tratteggiare l’evoluzione della situazione finanziaria dell’Ente nel corso dell’ultimo quinquennio, nelle tabelle che seguono sono riportate le entrate e le spese contabilizzate negli ultimi esercizi chiusi, in relazione alle fonti di entrata e ai principali aggregati di spesa.</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Per una corretta lettura dei dati, si ricorda che dal 1° gennaio 2012 vari enti italiani hanno partecipato alla sperimentazione della nuova disciplina concernente i sistemi contabili e gli schemi di bilancio delle Regioni, degli enti locali e dei loro enti ed organismi, introdotta dall’articolo 36 del decreto legislativo 23 giugno 2011 n. 118 “Disposizioni in materia di armonizzazione dei sistemi contabili e degli schemi di bilancio delle Regioni, degli enti locali e dei loro organismi”.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lastRenderedPageBreak/>
        <w:t>A seguito della prima fase altri Enti si sono successivamente aggiunti al gruppo degli Enti sperimentatori e, al termine della fase sperimentale, il nuovo ordinamento contabile è stato definitivamente introdotto per tutti gli Enti a partire dal 1° gennaio 2015.</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Tra le innovazioni più significative, rilevanti ai fini della comprensione dei dati esposti in questa parte, si rileva la costituzione e l’utilizzo del fondo pluriennale vincolato (d’ora in avanti FPV).</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Il FPV è un saldo finanziario, costituito da risorse già accertate in esercizi precedenti destinate al finanziamento di obbligazioni passive dell’Ente già impegnate, ma esigibili in esercizi successivi a quello in cui è accertata l’entrata.</w:t>
      </w:r>
    </w:p>
    <w:p w:rsidR="00DD0BB8" w:rsidRDefault="004854B0" w:rsidP="00CA3E73">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Il fondo garantisce la copertura di spese imputate agli esercizi successivi a quello nel quale sono assunte e nasce dall’esigenza di applicare il nuovo principio di competenza finanziaria potenziato rendendo evidente la distanza temporale intercorrente tra l’acquisizione dei finanziamenti e l’ef</w:t>
      </w:r>
      <w:r w:rsidR="00CA3E73">
        <w:rPr>
          <w:rFonts w:ascii="Trebuchet MS" w:hAnsi="Trebuchet MS" w:cs="Trebuchet MS"/>
          <w:sz w:val="21"/>
          <w:szCs w:val="21"/>
        </w:rPr>
        <w:t>fettivo impiego di tali risorse</w:t>
      </w:r>
    </w:p>
    <w:p w:rsidR="00CA3E73" w:rsidRPr="00CA3E73" w:rsidRDefault="00CA3E73" w:rsidP="00CA3E73">
      <w:pPr>
        <w:autoSpaceDE w:val="0"/>
        <w:autoSpaceDN w:val="0"/>
        <w:adjustRightInd w:val="0"/>
        <w:spacing w:after="0" w:line="360" w:lineRule="auto"/>
        <w:ind w:firstLine="539"/>
        <w:jc w:val="both"/>
        <w:rPr>
          <w:rFonts w:ascii="Trebuchet MS" w:hAnsi="Trebuchet MS" w:cs="Trebuchet MS"/>
          <w:sz w:val="21"/>
          <w:szCs w:val="21"/>
        </w:rPr>
      </w:pPr>
    </w:p>
    <w:p w:rsidR="00DD0BB8" w:rsidRDefault="00DD0BB8"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Analisi finanziaria generale</w:t>
      </w:r>
    </w:p>
    <w:p w:rsidR="004854B0" w:rsidRDefault="004854B0" w:rsidP="004854B0">
      <w:pPr>
        <w:autoSpaceDE w:val="0"/>
        <w:autoSpaceDN w:val="0"/>
        <w:adjustRightInd w:val="0"/>
        <w:spacing w:before="113" w:after="227" w:line="240" w:lineRule="auto"/>
        <w:rPr>
          <w:rFonts w:ascii="Trebuchet MS" w:hAnsi="Trebuchet MS" w:cs="Trebuchet MS"/>
          <w:color w:val="000000"/>
          <w:highlight w:val="white"/>
        </w:rPr>
      </w:pPr>
      <w:r>
        <w:rPr>
          <w:rFonts w:ascii="Trebuchet MS" w:hAnsi="Trebuchet MS" w:cs="Trebuchet MS"/>
          <w:color w:val="000000"/>
          <w:sz w:val="28"/>
          <w:szCs w:val="28"/>
          <w:highlight w:val="white"/>
        </w:rPr>
        <w:t xml:space="preserve">Evoluzione delle entrate </w:t>
      </w:r>
      <w:r>
        <w:rPr>
          <w:rFonts w:ascii="Trebuchet MS" w:hAnsi="Trebuchet MS" w:cs="Trebuchet MS"/>
          <w:color w:val="000000"/>
          <w:highlight w:val="white"/>
        </w:rPr>
        <w:t>(accertato)</w:t>
      </w:r>
    </w:p>
    <w:p w:rsidR="004854B0" w:rsidRDefault="004854B0" w:rsidP="004854B0">
      <w:pPr>
        <w:autoSpaceDE w:val="0"/>
        <w:autoSpaceDN w:val="0"/>
        <w:adjustRightInd w:val="0"/>
        <w:spacing w:after="0" w:line="360" w:lineRule="auto"/>
        <w:ind w:firstLine="539"/>
        <w:jc w:val="both"/>
        <w:rPr>
          <w:rFonts w:ascii="Calibri" w:hAnsi="Calibri" w:cs="Calibri"/>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4219"/>
        <w:gridCol w:w="1183"/>
        <w:gridCol w:w="1183"/>
        <w:gridCol w:w="1183"/>
        <w:gridCol w:w="1184"/>
        <w:gridCol w:w="1170"/>
      </w:tblGrid>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Entrate</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(in euro)</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 xml:space="preserve">RENDICONTO </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2012</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2013</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 xml:space="preserve">RENDICONTO </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2014</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2015</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2016</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bookmarkStart w:id="0" w:name="tabella_7_colonna_1"/>
            <w:bookmarkEnd w:id="0"/>
            <w:r w:rsidRPr="00D62B20">
              <w:rPr>
                <w:rFonts w:ascii="Trebuchet MS" w:eastAsia="Times New Roman" w:hAnsi="Trebuchet MS" w:cs="Times New Roman"/>
                <w:sz w:val="16"/>
                <w:szCs w:val="16"/>
              </w:rPr>
              <w:t>C1</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bookmarkStart w:id="1" w:name="tabella_7_colonna_2"/>
            <w:bookmarkEnd w:id="1"/>
            <w:r w:rsidRPr="00D62B20">
              <w:rPr>
                <w:rFonts w:ascii="Trebuchet MS" w:eastAsia="Times New Roman" w:hAnsi="Trebuchet MS" w:cs="Times New Roman"/>
                <w:sz w:val="16"/>
                <w:szCs w:val="16"/>
              </w:rPr>
              <w:t>C2</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bookmarkStart w:id="2" w:name="tabella_7_colonna_3"/>
            <w:bookmarkEnd w:id="2"/>
            <w:r w:rsidRPr="00D62B20">
              <w:rPr>
                <w:rFonts w:ascii="Trebuchet MS" w:eastAsia="Times New Roman" w:hAnsi="Trebuchet MS" w:cs="Times New Roman"/>
                <w:sz w:val="16"/>
                <w:szCs w:val="16"/>
              </w:rPr>
              <w:t>C3</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bookmarkStart w:id="3" w:name="tabella_7_colonna_4"/>
            <w:bookmarkEnd w:id="3"/>
            <w:r w:rsidRPr="00D62B20">
              <w:rPr>
                <w:rFonts w:ascii="Trebuchet MS" w:eastAsia="Times New Roman" w:hAnsi="Trebuchet MS" w:cs="Times New Roman"/>
                <w:sz w:val="16"/>
                <w:szCs w:val="16"/>
              </w:rPr>
              <w:t>C4</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bookmarkStart w:id="4" w:name="tabella_7_colonna_5"/>
            <w:bookmarkEnd w:id="4"/>
            <w:r w:rsidRPr="00D62B20">
              <w:rPr>
                <w:rFonts w:ascii="Trebuchet MS" w:eastAsia="Times New Roman" w:hAnsi="Trebuchet MS" w:cs="Times New Roman"/>
                <w:sz w:val="16"/>
                <w:szCs w:val="16"/>
              </w:rPr>
              <w:t>C5</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Utilizzo FPV di parte corrente</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106.020,29</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3.995,01</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Utilizzo FPV di parte capitale</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294.077,29</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Avanzo di amministrazione applicato</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2C408E" w:rsidP="002C408E">
            <w:pPr>
              <w:spacing w:before="100" w:beforeAutospacing="1" w:after="119" w:line="240" w:lineRule="auto"/>
              <w:jc w:val="right"/>
              <w:rPr>
                <w:rFonts w:ascii="Times New Roman" w:eastAsia="Times New Roman" w:hAnsi="Times New Roman" w:cs="Times New Roman"/>
                <w:sz w:val="24"/>
                <w:szCs w:val="24"/>
              </w:rPr>
            </w:pPr>
            <w:r>
              <w:rPr>
                <w:rFonts w:ascii="Trebuchet MS" w:eastAsia="Times New Roman" w:hAnsi="Trebuchet MS" w:cs="Times New Roman"/>
                <w:sz w:val="16"/>
                <w:szCs w:val="16"/>
              </w:rPr>
              <w:t>15.488,70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97.153,50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55.660,03</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1 – Entrate correnti di natura tributaria, contributiva e perequativa</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1.999.752,25</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sidRPr="002C408E">
              <w:rPr>
                <w:rFonts w:ascii="Times New Roman" w:eastAsia="Times New Roman" w:hAnsi="Times New Roman" w:cs="Times New Roman"/>
                <w:sz w:val="16"/>
                <w:szCs w:val="16"/>
              </w:rPr>
              <w:t>1.935.766,23</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1.963.853,59</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1.927.444,24</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1.793.389,28</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2 – Trasferimenti correnti</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171.308,46</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330.520,45</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201.651,68</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221.366,10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228.664,02</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3 – Entrate extratributarie</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544.785,62</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571.267,73</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483.730,23</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512.641,49</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560.184,05</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4 – Entrate in conto capitale</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354.416,18</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159.311,77</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263.661,89</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1.373.085,31</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447.978,74</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5 – Entrate da riduzione di attività finanziarie</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sidRPr="002C408E">
              <w:rPr>
                <w:rFonts w:ascii="Times New Roman" w:eastAsia="Times New Roman" w:hAnsi="Times New Roman"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6 – Accensione di prestiti</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671.200,00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2C408E" w:rsidP="00D62B20">
            <w:pPr>
              <w:spacing w:before="100" w:beforeAutospacing="1" w:after="119" w:line="240" w:lineRule="auto"/>
              <w:jc w:val="right"/>
              <w:rPr>
                <w:rFonts w:ascii="Times New Roman" w:eastAsia="Times New Roman" w:hAnsi="Times New Roman" w:cs="Times New Roman"/>
                <w:sz w:val="24"/>
                <w:szCs w:val="24"/>
              </w:rPr>
            </w:pPr>
            <w:r>
              <w:rPr>
                <w:rFonts w:ascii="Trebuchet MS" w:eastAsia="Times New Roman" w:hAnsi="Trebuchet MS" w:cs="Times New Roman"/>
                <w:sz w:val="16"/>
                <w:szCs w:val="16"/>
              </w:rPr>
              <w:t>368.589,82</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382.224,68</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207.791,83</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7 – Anticipazione da istituto tesoriere/cassiere</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D62B20">
            <w:pPr>
              <w:spacing w:before="100" w:beforeAutospacing="1" w:after="119" w:line="240" w:lineRule="auto"/>
              <w:jc w:val="right"/>
              <w:rPr>
                <w:rFonts w:ascii="Times New Roman" w:eastAsia="Times New Roman" w:hAnsi="Times New Roman" w:cs="Times New Roman"/>
                <w:sz w:val="16"/>
                <w:szCs w:val="16"/>
              </w:rPr>
            </w:pPr>
            <w:r w:rsidRPr="002C408E">
              <w:rPr>
                <w:rFonts w:ascii="Times New Roman" w:eastAsia="Times New Roman" w:hAnsi="Times New Roman" w:cs="Times New Roman"/>
                <w:sz w:val="16"/>
                <w:szCs w:val="16"/>
              </w:rPr>
              <w:t>2.291.009,04</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2C408E" w:rsidP="00D62B20">
            <w:pPr>
              <w:spacing w:before="100" w:beforeAutospacing="1" w:after="119" w:line="240" w:lineRule="auto"/>
              <w:jc w:val="right"/>
              <w:rPr>
                <w:rFonts w:ascii="Times New Roman" w:eastAsia="Times New Roman" w:hAnsi="Times New Roman" w:cs="Times New Roman"/>
                <w:sz w:val="24"/>
                <w:szCs w:val="24"/>
              </w:rPr>
            </w:pPr>
            <w:r>
              <w:rPr>
                <w:rFonts w:ascii="Trebuchet MS" w:eastAsia="Times New Roman" w:hAnsi="Trebuchet MS" w:cs="Times New Roman"/>
                <w:sz w:val="16"/>
                <w:szCs w:val="16"/>
              </w:rPr>
              <w:t>2.294.263,83</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94.380,13</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1.385.054,86</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1.258.080,23</w:t>
            </w: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r>
      <w:tr w:rsidR="00D62B20" w:rsidRPr="00D62B20" w:rsidTr="00D62B20">
        <w:trPr>
          <w:tblCellSpacing w:w="0" w:type="dxa"/>
        </w:trPr>
        <w:tc>
          <w:tcPr>
            <w:tcW w:w="21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lastRenderedPageBreak/>
              <w:t>TOTALE</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2C408E" w:rsidP="00D62B20">
            <w:pPr>
              <w:spacing w:before="100" w:beforeAutospacing="1" w:after="119" w:line="240" w:lineRule="auto"/>
              <w:jc w:val="right"/>
              <w:rPr>
                <w:rFonts w:ascii="Times New Roman" w:eastAsia="Times New Roman" w:hAnsi="Times New Roman" w:cs="Times New Roman"/>
                <w:sz w:val="24"/>
                <w:szCs w:val="24"/>
              </w:rPr>
            </w:pPr>
            <w:r>
              <w:rPr>
                <w:rFonts w:ascii="Trebuchet MS" w:eastAsia="Times New Roman" w:hAnsi="Trebuchet MS" w:cs="Times New Roman"/>
                <w:b/>
                <w:bCs/>
                <w:sz w:val="16"/>
                <w:szCs w:val="16"/>
              </w:rPr>
              <w:t>6.047.960,25</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2C408E" w:rsidRDefault="002C408E" w:rsidP="002C408E">
            <w:pPr>
              <w:spacing w:before="100" w:beforeAutospacing="1" w:after="119" w:line="240" w:lineRule="auto"/>
              <w:jc w:val="right"/>
              <w:rPr>
                <w:rFonts w:ascii="Times New Roman" w:eastAsia="Times New Roman" w:hAnsi="Times New Roman" w:cs="Times New Roman"/>
                <w:b/>
                <w:sz w:val="16"/>
                <w:szCs w:val="16"/>
              </w:rPr>
            </w:pPr>
            <w:r w:rsidRPr="002C408E">
              <w:rPr>
                <w:rFonts w:ascii="Times New Roman" w:eastAsia="Times New Roman" w:hAnsi="Times New Roman" w:cs="Times New Roman"/>
                <w:b/>
                <w:sz w:val="16"/>
                <w:szCs w:val="16"/>
              </w:rPr>
              <w:t>5.659.719,83</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3.389.502,20</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6.124.634,91</w:t>
            </w:r>
          </w:p>
        </w:tc>
        <w:tc>
          <w:tcPr>
            <w:tcW w:w="6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4.347.951,36</w:t>
            </w:r>
          </w:p>
        </w:tc>
      </w:tr>
    </w:tbl>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Default="004854B0" w:rsidP="00DD0BB8">
      <w:pPr>
        <w:autoSpaceDE w:val="0"/>
        <w:autoSpaceDN w:val="0"/>
        <w:adjustRightInd w:val="0"/>
        <w:spacing w:after="0" w:line="360" w:lineRule="auto"/>
        <w:jc w:val="both"/>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highlight w:val="white"/>
        </w:rPr>
      </w:pPr>
      <w:r>
        <w:rPr>
          <w:rFonts w:ascii="Trebuchet MS" w:hAnsi="Trebuchet MS" w:cs="Trebuchet MS"/>
          <w:color w:val="000000"/>
          <w:sz w:val="28"/>
          <w:szCs w:val="28"/>
          <w:highlight w:val="white"/>
        </w:rPr>
        <w:t xml:space="preserve">Evoluzione delle spese </w:t>
      </w:r>
      <w:r>
        <w:rPr>
          <w:rFonts w:ascii="Trebuchet MS" w:hAnsi="Trebuchet MS" w:cs="Trebuchet MS"/>
          <w:color w:val="000000"/>
          <w:highlight w:val="white"/>
        </w:rPr>
        <w:t>(impegnato)</w:t>
      </w:r>
    </w:p>
    <w:p w:rsidR="004854B0" w:rsidRDefault="004854B0" w:rsidP="004854B0">
      <w:pPr>
        <w:autoSpaceDE w:val="0"/>
        <w:autoSpaceDN w:val="0"/>
        <w:adjustRightInd w:val="0"/>
        <w:spacing w:after="0" w:line="360" w:lineRule="auto"/>
        <w:ind w:firstLine="539"/>
        <w:rPr>
          <w:rFonts w:ascii="Calibri" w:hAnsi="Calibri" w:cs="Calibri"/>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2896"/>
        <w:gridCol w:w="1446"/>
        <w:gridCol w:w="1445"/>
        <w:gridCol w:w="1445"/>
        <w:gridCol w:w="1445"/>
        <w:gridCol w:w="1445"/>
      </w:tblGrid>
      <w:tr w:rsidR="00D62B20" w:rsidRPr="00D62B20" w:rsidTr="004E20BA">
        <w:trPr>
          <w:tblCellSpacing w:w="0" w:type="dxa"/>
        </w:trPr>
        <w:tc>
          <w:tcPr>
            <w:tcW w:w="143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Spese</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(in euro)</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2012</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2013</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 xml:space="preserve">RENDICONTO </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2014</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2015</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2016</w:t>
            </w:r>
          </w:p>
        </w:tc>
      </w:tr>
      <w:tr w:rsidR="00D62B20" w:rsidRPr="00D62B20" w:rsidTr="004E20BA">
        <w:trPr>
          <w:tblCellSpacing w:w="0" w:type="dxa"/>
        </w:trPr>
        <w:tc>
          <w:tcPr>
            <w:tcW w:w="143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bookmarkStart w:id="5" w:name="tabella_8_colonna_1"/>
            <w:bookmarkEnd w:id="5"/>
            <w:r w:rsidRPr="00D62B20">
              <w:rPr>
                <w:rFonts w:ascii="Trebuchet MS" w:eastAsia="Times New Roman" w:hAnsi="Trebuchet MS" w:cs="Times New Roman"/>
                <w:sz w:val="16"/>
                <w:szCs w:val="16"/>
              </w:rPr>
              <w:t>C1</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bookmarkStart w:id="6" w:name="tabella_8_colonna_2"/>
            <w:bookmarkEnd w:id="6"/>
            <w:r w:rsidRPr="00D62B20">
              <w:rPr>
                <w:rFonts w:ascii="Trebuchet MS" w:eastAsia="Times New Roman" w:hAnsi="Trebuchet MS" w:cs="Times New Roman"/>
                <w:sz w:val="16"/>
                <w:szCs w:val="16"/>
              </w:rPr>
              <w:t>C2</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bookmarkStart w:id="7" w:name="tabella_8_colonna_3"/>
            <w:bookmarkEnd w:id="7"/>
            <w:r w:rsidRPr="00D62B20">
              <w:rPr>
                <w:rFonts w:ascii="Trebuchet MS" w:eastAsia="Times New Roman" w:hAnsi="Trebuchet MS" w:cs="Times New Roman"/>
                <w:sz w:val="16"/>
                <w:szCs w:val="16"/>
              </w:rPr>
              <w:t>C3</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bookmarkStart w:id="8" w:name="tabella_8_colonna_4"/>
            <w:bookmarkEnd w:id="8"/>
            <w:r w:rsidRPr="00D62B20">
              <w:rPr>
                <w:rFonts w:ascii="Trebuchet MS" w:eastAsia="Times New Roman" w:hAnsi="Trebuchet MS" w:cs="Times New Roman"/>
                <w:sz w:val="16"/>
                <w:szCs w:val="16"/>
              </w:rPr>
              <w:t>C4</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bookmarkStart w:id="9" w:name="tabella_8_colonna_5"/>
            <w:bookmarkEnd w:id="9"/>
            <w:r w:rsidRPr="00D62B20">
              <w:rPr>
                <w:rFonts w:ascii="Trebuchet MS" w:eastAsia="Times New Roman" w:hAnsi="Trebuchet MS" w:cs="Times New Roman"/>
                <w:sz w:val="16"/>
                <w:szCs w:val="16"/>
              </w:rPr>
              <w:t>C5</w:t>
            </w:r>
          </w:p>
        </w:tc>
      </w:tr>
      <w:tr w:rsidR="00D62B20" w:rsidRPr="00D62B20" w:rsidTr="004E20BA">
        <w:trPr>
          <w:tblCellSpacing w:w="0" w:type="dxa"/>
        </w:trPr>
        <w:tc>
          <w:tcPr>
            <w:tcW w:w="143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1 – Spese correnti</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4E20BA" w:rsidP="00D62B20">
            <w:pPr>
              <w:spacing w:before="100" w:beforeAutospacing="1" w:after="119" w:line="240" w:lineRule="auto"/>
              <w:jc w:val="right"/>
              <w:rPr>
                <w:rFonts w:ascii="Times New Roman" w:eastAsia="Times New Roman" w:hAnsi="Times New Roman" w:cs="Times New Roman"/>
                <w:sz w:val="16"/>
                <w:szCs w:val="16"/>
              </w:rPr>
            </w:pPr>
            <w:r w:rsidRPr="004E20BA">
              <w:rPr>
                <w:rFonts w:ascii="Times New Roman" w:eastAsia="Times New Roman" w:hAnsi="Times New Roman" w:cs="Times New Roman"/>
                <w:sz w:val="16"/>
                <w:szCs w:val="16"/>
              </w:rPr>
              <w:t>2.543.325,90</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4E20BA"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2.471.958,53</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2.405.139,53</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2.470.688,32</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2.292.263,27</w:t>
            </w:r>
          </w:p>
        </w:tc>
      </w:tr>
      <w:tr w:rsidR="00D62B20" w:rsidRPr="00D62B20" w:rsidTr="004E20BA">
        <w:trPr>
          <w:tblCellSpacing w:w="0" w:type="dxa"/>
        </w:trPr>
        <w:tc>
          <w:tcPr>
            <w:tcW w:w="143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2 – Spese in conto capitale</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4E20BA"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1.000.254,38</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4E20BA"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159.311,77</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263.661,89</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1.891.109,49</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332.374,32</w:t>
            </w:r>
          </w:p>
        </w:tc>
      </w:tr>
      <w:tr w:rsidR="00D62B20" w:rsidRPr="00D62B20" w:rsidTr="004E20BA">
        <w:trPr>
          <w:tblCellSpacing w:w="0" w:type="dxa"/>
        </w:trPr>
        <w:tc>
          <w:tcPr>
            <w:tcW w:w="143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3 – Spese per incremento di attività finanziarie</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D62B20" w:rsidP="00D62B20">
            <w:pPr>
              <w:spacing w:before="100" w:beforeAutospacing="1" w:after="119" w:line="240" w:lineRule="auto"/>
              <w:jc w:val="right"/>
              <w:rPr>
                <w:rFonts w:ascii="Times New Roman" w:eastAsia="Times New Roman" w:hAnsi="Times New Roman" w:cs="Times New Roman"/>
                <w:sz w:val="16"/>
                <w:szCs w:val="16"/>
              </w:rPr>
            </w:pPr>
            <w:r w:rsidRPr="004E20BA">
              <w:rPr>
                <w:rFonts w:ascii="Trebuchet MS" w:eastAsia="Times New Roman" w:hAnsi="Trebuchet MS" w:cs="Times New Roman"/>
                <w:sz w:val="16"/>
                <w:szCs w:val="16"/>
              </w:rPr>
              <w:t>0,00</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D62B20" w:rsidP="00D62B20">
            <w:pPr>
              <w:spacing w:before="100" w:beforeAutospacing="1" w:after="119" w:line="240" w:lineRule="auto"/>
              <w:jc w:val="right"/>
              <w:rPr>
                <w:rFonts w:ascii="Times New Roman" w:eastAsia="Times New Roman" w:hAnsi="Times New Roman" w:cs="Times New Roman"/>
                <w:sz w:val="16"/>
                <w:szCs w:val="16"/>
              </w:rPr>
            </w:pPr>
            <w:r w:rsidRPr="004E20BA">
              <w:rPr>
                <w:rFonts w:ascii="Trebuchet MS" w:eastAsia="Times New Roman" w:hAnsi="Trebuchet MS" w:cs="Times New Roman"/>
                <w:sz w:val="16"/>
                <w:szCs w:val="16"/>
              </w:rPr>
              <w:t>0,00</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4E20BA">
        <w:trPr>
          <w:tblCellSpacing w:w="0" w:type="dxa"/>
        </w:trPr>
        <w:tc>
          <w:tcPr>
            <w:tcW w:w="143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4 – Rimborso di prestiti</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4E20BA" w:rsidP="00D62B20">
            <w:pPr>
              <w:spacing w:before="100" w:beforeAutospacing="1" w:after="119" w:line="240" w:lineRule="auto"/>
              <w:jc w:val="right"/>
              <w:rPr>
                <w:rFonts w:ascii="Times New Roman" w:eastAsia="Times New Roman" w:hAnsi="Times New Roman" w:cs="Times New Roman"/>
                <w:sz w:val="16"/>
                <w:szCs w:val="16"/>
              </w:rPr>
            </w:pPr>
            <w:r>
              <w:rPr>
                <w:rFonts w:ascii="Trebuchet MS" w:eastAsia="Times New Roman" w:hAnsi="Trebuchet MS" w:cs="Times New Roman"/>
                <w:sz w:val="16"/>
                <w:szCs w:val="16"/>
              </w:rPr>
              <w:t>113.343,03</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4E20BA" w:rsidP="00D62B20">
            <w:pPr>
              <w:spacing w:before="100" w:beforeAutospacing="1" w:after="119" w:line="240" w:lineRule="auto"/>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506.534,01</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527.106,94</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97.776,38</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102.452,84</w:t>
            </w:r>
          </w:p>
        </w:tc>
      </w:tr>
      <w:tr w:rsidR="00D62B20" w:rsidRPr="00D62B20" w:rsidTr="004E20BA">
        <w:trPr>
          <w:tblCellSpacing w:w="0" w:type="dxa"/>
        </w:trPr>
        <w:tc>
          <w:tcPr>
            <w:tcW w:w="143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Titolo 5 – Chiusura Anticipazioni da istituto tesoriere/cassiere</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4E20BA" w:rsidP="00D62B20">
            <w:pPr>
              <w:spacing w:before="100" w:beforeAutospacing="1" w:after="119" w:line="240" w:lineRule="auto"/>
              <w:jc w:val="right"/>
              <w:rPr>
                <w:rFonts w:ascii="Times New Roman" w:eastAsia="Times New Roman" w:hAnsi="Times New Roman" w:cs="Times New Roman"/>
                <w:sz w:val="16"/>
                <w:szCs w:val="16"/>
              </w:rPr>
            </w:pPr>
            <w:r>
              <w:rPr>
                <w:rFonts w:ascii="Trebuchet MS" w:eastAsia="Times New Roman" w:hAnsi="Trebuchet MS" w:cs="Times New Roman"/>
                <w:sz w:val="16"/>
                <w:szCs w:val="16"/>
              </w:rPr>
              <w:t>2.291.009,04</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4E20BA" w:rsidP="00D62B20">
            <w:pPr>
              <w:spacing w:before="100" w:beforeAutospacing="1" w:after="119" w:line="240" w:lineRule="auto"/>
              <w:jc w:val="right"/>
              <w:rPr>
                <w:rFonts w:ascii="Times New Roman" w:eastAsia="Times New Roman" w:hAnsi="Times New Roman" w:cs="Times New Roman"/>
                <w:sz w:val="16"/>
                <w:szCs w:val="16"/>
              </w:rPr>
            </w:pPr>
            <w:r>
              <w:rPr>
                <w:rFonts w:ascii="Trebuchet MS" w:eastAsia="Times New Roman" w:hAnsi="Trebuchet MS" w:cs="Times New Roman"/>
                <w:sz w:val="16"/>
                <w:szCs w:val="16"/>
              </w:rPr>
              <w:t>2.294.263,83</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94.380,13</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1.385.054,86</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1.258.080,23</w:t>
            </w:r>
          </w:p>
        </w:tc>
      </w:tr>
      <w:tr w:rsidR="00D62B20" w:rsidRPr="00D62B20" w:rsidTr="004E20BA">
        <w:trPr>
          <w:tblCellSpacing w:w="0" w:type="dxa"/>
        </w:trPr>
        <w:tc>
          <w:tcPr>
            <w:tcW w:w="143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TOTALE</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4E20BA" w:rsidP="00D62B20">
            <w:pPr>
              <w:spacing w:before="100" w:beforeAutospacing="1" w:after="119" w:line="240" w:lineRule="auto"/>
              <w:jc w:val="right"/>
              <w:rPr>
                <w:rFonts w:ascii="Times New Roman" w:eastAsia="Times New Roman" w:hAnsi="Times New Roman" w:cs="Times New Roman"/>
                <w:b/>
                <w:sz w:val="16"/>
                <w:szCs w:val="16"/>
              </w:rPr>
            </w:pPr>
            <w:r w:rsidRPr="004E20BA">
              <w:rPr>
                <w:rFonts w:ascii="Times New Roman" w:eastAsia="Times New Roman" w:hAnsi="Times New Roman" w:cs="Times New Roman"/>
                <w:b/>
                <w:sz w:val="16"/>
                <w:szCs w:val="16"/>
              </w:rPr>
              <w:t>5.947,932,35</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4E20BA" w:rsidRDefault="004E20BA" w:rsidP="00D62B20">
            <w:pPr>
              <w:spacing w:before="100" w:beforeAutospacing="1" w:after="119" w:line="240" w:lineRule="auto"/>
              <w:jc w:val="right"/>
              <w:rPr>
                <w:rFonts w:ascii="Times New Roman" w:eastAsia="Times New Roman" w:hAnsi="Times New Roman" w:cs="Times New Roman"/>
                <w:b/>
                <w:sz w:val="16"/>
                <w:szCs w:val="16"/>
              </w:rPr>
            </w:pPr>
            <w:r w:rsidRPr="004E20BA">
              <w:rPr>
                <w:rFonts w:ascii="Times New Roman" w:eastAsia="Times New Roman" w:hAnsi="Times New Roman" w:cs="Times New Roman"/>
                <w:b/>
                <w:sz w:val="16"/>
                <w:szCs w:val="16"/>
              </w:rPr>
              <w:t>5.432.068,14</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3.290.288,49</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5.844.629,05</w:t>
            </w:r>
          </w:p>
        </w:tc>
        <w:tc>
          <w:tcPr>
            <w:tcW w:w="714"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3.985.170,66</w:t>
            </w:r>
          </w:p>
        </w:tc>
      </w:tr>
    </w:tbl>
    <w:p w:rsidR="00DD0BB8" w:rsidRDefault="00DD0BB8" w:rsidP="00D62B20">
      <w:pPr>
        <w:autoSpaceDE w:val="0"/>
        <w:autoSpaceDN w:val="0"/>
        <w:adjustRightInd w:val="0"/>
        <w:spacing w:after="0" w:line="360" w:lineRule="auto"/>
        <w:jc w:val="both"/>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highlight w:val="white"/>
        </w:rPr>
      </w:pPr>
      <w:r>
        <w:rPr>
          <w:rFonts w:ascii="Trebuchet MS" w:hAnsi="Trebuchet MS" w:cs="Trebuchet MS"/>
          <w:color w:val="000000"/>
          <w:sz w:val="28"/>
          <w:szCs w:val="28"/>
          <w:highlight w:val="white"/>
        </w:rPr>
        <w:t xml:space="preserve">Partite di giro </w:t>
      </w:r>
      <w:r>
        <w:rPr>
          <w:rFonts w:ascii="Trebuchet MS" w:hAnsi="Trebuchet MS" w:cs="Trebuchet MS"/>
          <w:color w:val="000000"/>
          <w:highlight w:val="white"/>
        </w:rPr>
        <w:t>(accertato/impegnato)</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2894"/>
        <w:gridCol w:w="1446"/>
        <w:gridCol w:w="1446"/>
        <w:gridCol w:w="1446"/>
        <w:gridCol w:w="1445"/>
        <w:gridCol w:w="1445"/>
      </w:tblGrid>
      <w:tr w:rsidR="00D62B20" w:rsidRPr="00D62B20" w:rsidTr="00D62B20">
        <w:trPr>
          <w:tblCellSpacing w:w="0" w:type="dxa"/>
        </w:trPr>
        <w:tc>
          <w:tcPr>
            <w:tcW w:w="14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Servizi c/terzi</w:t>
            </w:r>
          </w:p>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(in euro)</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2012</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2013</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 xml:space="preserve">RENDICONTO </w:t>
            </w:r>
          </w:p>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2014</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2015</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RENDICONTO</w:t>
            </w:r>
          </w:p>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imes New Roman" w:eastAsia="Times New Roman" w:hAnsi="Times New Roman" w:cs="Times New Roman"/>
                <w:sz w:val="24"/>
                <w:szCs w:val="24"/>
              </w:rPr>
              <w:t>2016</w:t>
            </w:r>
          </w:p>
        </w:tc>
      </w:tr>
      <w:tr w:rsidR="00D62B20" w:rsidRPr="00D62B20" w:rsidTr="00D62B20">
        <w:trPr>
          <w:tblCellSpacing w:w="0" w:type="dxa"/>
        </w:trPr>
        <w:tc>
          <w:tcPr>
            <w:tcW w:w="14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10" w:name="tabella_9_colonna_1"/>
            <w:bookmarkEnd w:id="10"/>
            <w:r w:rsidRPr="00D62B20">
              <w:rPr>
                <w:rFonts w:ascii="Trebuchet MS" w:eastAsia="Times New Roman" w:hAnsi="Trebuchet MS" w:cs="Times New Roman"/>
                <w:sz w:val="16"/>
                <w:szCs w:val="16"/>
              </w:rPr>
              <w:t>C1</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11" w:name="tabella_9_colonna_2"/>
            <w:bookmarkEnd w:id="11"/>
            <w:r w:rsidRPr="00D62B20">
              <w:rPr>
                <w:rFonts w:ascii="Trebuchet MS" w:eastAsia="Times New Roman" w:hAnsi="Trebuchet MS" w:cs="Times New Roman"/>
                <w:sz w:val="16"/>
                <w:szCs w:val="16"/>
              </w:rPr>
              <w:t>C2</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12" w:name="tabella_9_colonna_3"/>
            <w:bookmarkEnd w:id="12"/>
            <w:r w:rsidRPr="00D62B20">
              <w:rPr>
                <w:rFonts w:ascii="Trebuchet MS" w:eastAsia="Times New Roman" w:hAnsi="Trebuchet MS" w:cs="Times New Roman"/>
                <w:sz w:val="16"/>
                <w:szCs w:val="16"/>
              </w:rPr>
              <w:t>C3</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13" w:name="tabella_9_colonna_4"/>
            <w:bookmarkEnd w:id="13"/>
            <w:r w:rsidRPr="00D62B20">
              <w:rPr>
                <w:rFonts w:ascii="Trebuchet MS" w:eastAsia="Times New Roman" w:hAnsi="Trebuchet MS" w:cs="Times New Roman"/>
                <w:sz w:val="16"/>
                <w:szCs w:val="16"/>
              </w:rPr>
              <w:t>C4</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14" w:name="tabella_9_colonna_5"/>
            <w:bookmarkEnd w:id="14"/>
            <w:r w:rsidRPr="00D62B20">
              <w:rPr>
                <w:rFonts w:ascii="Trebuchet MS" w:eastAsia="Times New Roman" w:hAnsi="Trebuchet MS" w:cs="Times New Roman"/>
                <w:sz w:val="16"/>
                <w:szCs w:val="16"/>
              </w:rPr>
              <w:t>C5</w:t>
            </w:r>
          </w:p>
        </w:tc>
      </w:tr>
      <w:tr w:rsidR="00D62B20" w:rsidRPr="00D62B20" w:rsidTr="00D62B20">
        <w:trPr>
          <w:tblCellSpacing w:w="0" w:type="dxa"/>
        </w:trPr>
        <w:tc>
          <w:tcPr>
            <w:tcW w:w="14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r w:rsidRPr="00D62B20">
              <w:rPr>
                <w:rFonts w:ascii="Trebuchet MS" w:eastAsia="Times New Roman" w:hAnsi="Trebuchet MS" w:cs="Times New Roman"/>
                <w:sz w:val="16"/>
                <w:szCs w:val="16"/>
              </w:rPr>
              <w:t>Titolo 9 – Entrate per conto di terzi e partite di giro</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4E20BA" w:rsidP="00D62B20">
            <w:pPr>
              <w:spacing w:before="100" w:beforeAutospacing="1" w:after="0" w:line="240" w:lineRule="auto"/>
              <w:rPr>
                <w:rFonts w:ascii="Times New Roman" w:eastAsia="Times New Roman" w:hAnsi="Times New Roman" w:cs="Times New Roman"/>
                <w:sz w:val="24"/>
                <w:szCs w:val="24"/>
              </w:rPr>
            </w:pPr>
            <w:r>
              <w:rPr>
                <w:rFonts w:ascii="Trebuchet MS" w:eastAsia="Times New Roman" w:hAnsi="Trebuchet MS" w:cs="Times New Roman"/>
                <w:sz w:val="16"/>
                <w:szCs w:val="16"/>
              </w:rPr>
              <w:t>294.835,12</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4E20BA" w:rsidP="00D62B20">
            <w:pPr>
              <w:spacing w:before="100" w:beforeAutospacing="1" w:after="0" w:line="240" w:lineRule="auto"/>
              <w:rPr>
                <w:rFonts w:ascii="Times New Roman" w:eastAsia="Times New Roman" w:hAnsi="Times New Roman" w:cs="Times New Roman"/>
                <w:sz w:val="24"/>
                <w:szCs w:val="24"/>
              </w:rPr>
            </w:pPr>
            <w:r>
              <w:rPr>
                <w:rFonts w:ascii="Trebuchet MS" w:eastAsia="Times New Roman" w:hAnsi="Trebuchet MS" w:cs="Times New Roman"/>
                <w:sz w:val="16"/>
                <w:szCs w:val="16"/>
              </w:rPr>
              <w:t>305.273,64</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352.901,62</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2.404.502,30</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3.151.775,65</w:t>
            </w:r>
          </w:p>
        </w:tc>
      </w:tr>
      <w:tr w:rsidR="00D62B20" w:rsidRPr="00D62B20" w:rsidTr="00D62B20">
        <w:trPr>
          <w:tblCellSpacing w:w="0" w:type="dxa"/>
        </w:trPr>
        <w:tc>
          <w:tcPr>
            <w:tcW w:w="14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r w:rsidRPr="00D62B20">
              <w:rPr>
                <w:rFonts w:ascii="Trebuchet MS" w:eastAsia="Times New Roman" w:hAnsi="Trebuchet MS" w:cs="Times New Roman"/>
                <w:sz w:val="16"/>
                <w:szCs w:val="16"/>
              </w:rPr>
              <w:t>Titolo 7 – Spese per conto di terzi e partite di giro</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4E20BA" w:rsidP="00D62B20">
            <w:pPr>
              <w:spacing w:before="100" w:beforeAutospacing="1" w:after="0" w:line="240" w:lineRule="auto"/>
              <w:rPr>
                <w:rFonts w:ascii="Times New Roman" w:eastAsia="Times New Roman" w:hAnsi="Times New Roman" w:cs="Times New Roman"/>
                <w:sz w:val="24"/>
                <w:szCs w:val="24"/>
              </w:rPr>
            </w:pPr>
            <w:r>
              <w:rPr>
                <w:rFonts w:ascii="Trebuchet MS" w:eastAsia="Times New Roman" w:hAnsi="Trebuchet MS" w:cs="Times New Roman"/>
                <w:sz w:val="16"/>
                <w:szCs w:val="16"/>
              </w:rPr>
              <w:t>294.835,12</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4E20BA" w:rsidP="00D62B20">
            <w:pPr>
              <w:spacing w:before="100" w:beforeAutospacing="1" w:after="0" w:line="240" w:lineRule="auto"/>
              <w:rPr>
                <w:rFonts w:ascii="Times New Roman" w:eastAsia="Times New Roman" w:hAnsi="Times New Roman" w:cs="Times New Roman"/>
                <w:sz w:val="24"/>
                <w:szCs w:val="24"/>
              </w:rPr>
            </w:pPr>
            <w:r>
              <w:rPr>
                <w:rFonts w:ascii="Trebuchet MS" w:eastAsia="Times New Roman" w:hAnsi="Trebuchet MS" w:cs="Times New Roman"/>
                <w:sz w:val="16"/>
                <w:szCs w:val="16"/>
              </w:rPr>
              <w:t>305.273,64</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352.901,62</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2.404.502,30</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3.151.775,65</w:t>
            </w:r>
          </w:p>
        </w:tc>
      </w:tr>
    </w:tbl>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Partite di giro</w:t>
      </w:r>
    </w:p>
    <w:p w:rsidR="0036064B" w:rsidRDefault="0036064B" w:rsidP="00DD0BB8">
      <w:pPr>
        <w:autoSpaceDE w:val="0"/>
        <w:autoSpaceDN w:val="0"/>
        <w:adjustRightInd w:val="0"/>
        <w:spacing w:after="0" w:line="360" w:lineRule="auto"/>
        <w:jc w:val="both"/>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Analisi delle entrate</w:t>
      </w:r>
    </w:p>
    <w:p w:rsidR="004854B0" w:rsidRDefault="004854B0" w:rsidP="004854B0">
      <w:pPr>
        <w:autoSpaceDE w:val="0"/>
        <w:autoSpaceDN w:val="0"/>
        <w:adjustRightInd w:val="0"/>
        <w:spacing w:before="113" w:after="227" w:line="240" w:lineRule="auto"/>
        <w:rPr>
          <w:rFonts w:ascii="Trebuchet MS" w:hAnsi="Trebuchet MS" w:cs="Trebuchet MS"/>
          <w:color w:val="000000"/>
          <w:highlight w:val="white"/>
        </w:rPr>
      </w:pPr>
      <w:r>
        <w:rPr>
          <w:rFonts w:ascii="Trebuchet MS" w:hAnsi="Trebuchet MS" w:cs="Trebuchet MS"/>
          <w:color w:val="000000"/>
          <w:sz w:val="28"/>
          <w:szCs w:val="28"/>
          <w:highlight w:val="white"/>
        </w:rPr>
        <w:t xml:space="preserve">Entrate correnti </w:t>
      </w:r>
      <w:r w:rsidR="0036064B" w:rsidRPr="0036064B">
        <w:rPr>
          <w:rFonts w:ascii="Trebuchet MS" w:hAnsi="Trebuchet MS" w:cs="Trebuchet MS"/>
          <w:b/>
          <w:color w:val="000000"/>
          <w:highlight w:val="white"/>
        </w:rPr>
        <w:t>2016</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1823"/>
        <w:gridCol w:w="1417"/>
        <w:gridCol w:w="1417"/>
        <w:gridCol w:w="1417"/>
        <w:gridCol w:w="607"/>
        <w:gridCol w:w="1417"/>
        <w:gridCol w:w="607"/>
        <w:gridCol w:w="1417"/>
      </w:tblGrid>
      <w:tr w:rsidR="00D62B20" w:rsidRPr="00D62B20" w:rsidTr="00D62B20">
        <w:trPr>
          <w:trHeight w:val="360"/>
          <w:tblCellSpacing w:w="0" w:type="dxa"/>
        </w:trPr>
        <w:tc>
          <w:tcPr>
            <w:tcW w:w="900"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lastRenderedPageBreak/>
              <w:t>Titolo</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Previsione iniziale</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Previsione assestata</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Accertato</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Riscosso</w:t>
            </w:r>
          </w:p>
        </w:tc>
        <w:tc>
          <w:tcPr>
            <w:tcW w:w="300"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w:t>
            </w:r>
          </w:p>
        </w:tc>
        <w:tc>
          <w:tcPr>
            <w:tcW w:w="700"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Residuo</w:t>
            </w:r>
          </w:p>
        </w:tc>
      </w:tr>
      <w:tr w:rsidR="00D62B20" w:rsidRPr="00D62B20" w:rsidTr="00D62B20">
        <w:trPr>
          <w:tblCellSpacing w:w="0" w:type="dxa"/>
        </w:trPr>
        <w:tc>
          <w:tcPr>
            <w:tcW w:w="9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15" w:name="tabella_10_colonna_1"/>
            <w:bookmarkEnd w:id="15"/>
            <w:r w:rsidRPr="00D62B20">
              <w:rPr>
                <w:rFonts w:ascii="Trebuchet MS" w:eastAsia="Times New Roman" w:hAnsi="Trebuchet MS" w:cs="Times New Roman"/>
                <w:sz w:val="16"/>
                <w:szCs w:val="16"/>
              </w:rPr>
              <w:t>C1</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16" w:name="tabella_10_colonna_2"/>
            <w:bookmarkEnd w:id="16"/>
            <w:r w:rsidRPr="00D62B20">
              <w:rPr>
                <w:rFonts w:ascii="Trebuchet MS" w:eastAsia="Times New Roman" w:hAnsi="Trebuchet MS" w:cs="Times New Roman"/>
                <w:sz w:val="16"/>
                <w:szCs w:val="16"/>
              </w:rPr>
              <w:t>C2</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17" w:name="tabella_10_colonna_3"/>
            <w:bookmarkEnd w:id="17"/>
            <w:r w:rsidRPr="00D62B20">
              <w:rPr>
                <w:rFonts w:ascii="Trebuchet MS" w:eastAsia="Times New Roman" w:hAnsi="Trebuchet MS" w:cs="Times New Roman"/>
                <w:sz w:val="16"/>
                <w:szCs w:val="16"/>
              </w:rPr>
              <w:t>C3</w:t>
            </w:r>
          </w:p>
        </w:tc>
        <w:tc>
          <w:tcPr>
            <w:tcW w:w="3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18" w:name="tabella_10_colonna_4"/>
            <w:bookmarkEnd w:id="18"/>
            <w:r w:rsidRPr="00D62B20">
              <w:rPr>
                <w:rFonts w:ascii="Trebuchet MS" w:eastAsia="Times New Roman" w:hAnsi="Trebuchet MS" w:cs="Times New Roman"/>
                <w:sz w:val="16"/>
                <w:szCs w:val="16"/>
              </w:rPr>
              <w:t>C4</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19" w:name="tabella_10_colonna_5"/>
            <w:bookmarkEnd w:id="19"/>
            <w:r w:rsidRPr="00D62B20">
              <w:rPr>
                <w:rFonts w:ascii="Trebuchet MS" w:eastAsia="Times New Roman" w:hAnsi="Trebuchet MS" w:cs="Times New Roman"/>
                <w:sz w:val="16"/>
                <w:szCs w:val="16"/>
              </w:rPr>
              <w:t>C5</w:t>
            </w:r>
          </w:p>
        </w:tc>
        <w:tc>
          <w:tcPr>
            <w:tcW w:w="3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20" w:name="tabella_10_colonna_6"/>
            <w:bookmarkEnd w:id="20"/>
            <w:r w:rsidRPr="00D62B20">
              <w:rPr>
                <w:rFonts w:ascii="Trebuchet MS" w:eastAsia="Times New Roman" w:hAnsi="Trebuchet MS" w:cs="Times New Roman"/>
                <w:sz w:val="16"/>
                <w:szCs w:val="16"/>
              </w:rPr>
              <w:t>C6</w:t>
            </w:r>
          </w:p>
        </w:tc>
        <w:tc>
          <w:tcPr>
            <w:tcW w:w="7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21" w:name="tabella_10_colonna_7"/>
            <w:bookmarkEnd w:id="21"/>
            <w:r w:rsidRPr="00D62B20">
              <w:rPr>
                <w:rFonts w:ascii="Trebuchet MS" w:eastAsia="Times New Roman" w:hAnsi="Trebuchet MS" w:cs="Times New Roman"/>
                <w:sz w:val="16"/>
                <w:szCs w:val="16"/>
              </w:rPr>
              <w:t>C7</w:t>
            </w:r>
          </w:p>
        </w:tc>
      </w:tr>
      <w:tr w:rsidR="00D62B20" w:rsidRPr="00D62B20" w:rsidTr="00D62B20">
        <w:trPr>
          <w:trHeight w:val="225"/>
          <w:tblCellSpacing w:w="0" w:type="dxa"/>
        </w:trPr>
        <w:tc>
          <w:tcPr>
            <w:tcW w:w="9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Entrate tributarie</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1.875.293,00</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1.875.793,00</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1.107.372,66</w:t>
            </w:r>
          </w:p>
        </w:tc>
        <w:tc>
          <w:tcPr>
            <w:tcW w:w="3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59,03</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650.522,06</w:t>
            </w:r>
          </w:p>
        </w:tc>
        <w:tc>
          <w:tcPr>
            <w:tcW w:w="3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34,68</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456.850,60</w:t>
            </w:r>
          </w:p>
        </w:tc>
      </w:tr>
      <w:tr w:rsidR="00D62B20" w:rsidRPr="00D62B20" w:rsidTr="00D62B20">
        <w:trPr>
          <w:trHeight w:val="225"/>
          <w:tblCellSpacing w:w="0" w:type="dxa"/>
        </w:trPr>
        <w:tc>
          <w:tcPr>
            <w:tcW w:w="9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Entrate da trasferimenti</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234.283,00</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234.283,00</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81.260,14</w:t>
            </w:r>
          </w:p>
        </w:tc>
        <w:tc>
          <w:tcPr>
            <w:tcW w:w="3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34,68</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81.260,14</w:t>
            </w:r>
          </w:p>
        </w:tc>
        <w:tc>
          <w:tcPr>
            <w:tcW w:w="3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34,68</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225"/>
          <w:tblCellSpacing w:w="0" w:type="dxa"/>
        </w:trPr>
        <w:tc>
          <w:tcPr>
            <w:tcW w:w="9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Entrate extratributarie</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622.606,84</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663.671,84</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367.709,44</w:t>
            </w:r>
          </w:p>
        </w:tc>
        <w:tc>
          <w:tcPr>
            <w:tcW w:w="3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55,41</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83.904,47</w:t>
            </w:r>
          </w:p>
        </w:tc>
        <w:tc>
          <w:tcPr>
            <w:tcW w:w="3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12,64</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283.804,97</w:t>
            </w:r>
          </w:p>
        </w:tc>
      </w:tr>
      <w:tr w:rsidR="00D62B20" w:rsidRPr="00D62B20" w:rsidTr="00D62B20">
        <w:trPr>
          <w:tblCellSpacing w:w="0" w:type="dxa"/>
        </w:trPr>
        <w:tc>
          <w:tcPr>
            <w:tcW w:w="9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p>
        </w:tc>
        <w:tc>
          <w:tcPr>
            <w:tcW w:w="3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p>
        </w:tc>
        <w:tc>
          <w:tcPr>
            <w:tcW w:w="3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p>
        </w:tc>
      </w:tr>
      <w:tr w:rsidR="00D62B20" w:rsidRPr="00D62B20" w:rsidTr="00D62B20">
        <w:trPr>
          <w:trHeight w:val="210"/>
          <w:tblCellSpacing w:w="0" w:type="dxa"/>
        </w:trPr>
        <w:tc>
          <w:tcPr>
            <w:tcW w:w="9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TOTALE</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2.732.182,84</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2.773.747,84</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1.556.342,24</w:t>
            </w:r>
          </w:p>
        </w:tc>
        <w:tc>
          <w:tcPr>
            <w:tcW w:w="3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56,11</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815.686,67</w:t>
            </w:r>
          </w:p>
        </w:tc>
        <w:tc>
          <w:tcPr>
            <w:tcW w:w="3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29,41</w:t>
            </w:r>
          </w:p>
        </w:tc>
        <w:tc>
          <w:tcPr>
            <w:tcW w:w="70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740.655,57</w:t>
            </w:r>
          </w:p>
        </w:tc>
      </w:tr>
    </w:tbl>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Entrate correnti - Analisi titolo 1-2-3</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Le </w:t>
      </w:r>
      <w:r>
        <w:rPr>
          <w:rFonts w:ascii="Trebuchet MS" w:hAnsi="Trebuchet MS" w:cs="Trebuchet MS"/>
          <w:b/>
          <w:bCs/>
          <w:sz w:val="21"/>
          <w:szCs w:val="21"/>
        </w:rPr>
        <w:t>entrate tributarie</w:t>
      </w:r>
      <w:r>
        <w:rPr>
          <w:rFonts w:ascii="Trebuchet MS" w:hAnsi="Trebuchet MS" w:cs="Trebuchet MS"/>
          <w:sz w:val="21"/>
          <w:szCs w:val="21"/>
        </w:rPr>
        <w:t xml:space="preserve"> classificate al titolo </w:t>
      </w:r>
      <w:proofErr w:type="spellStart"/>
      <w:r>
        <w:rPr>
          <w:rFonts w:ascii="Trebuchet MS" w:hAnsi="Trebuchet MS" w:cs="Trebuchet MS"/>
          <w:sz w:val="21"/>
          <w:szCs w:val="21"/>
        </w:rPr>
        <w:t>I°</w:t>
      </w:r>
      <w:proofErr w:type="spellEnd"/>
      <w:r>
        <w:rPr>
          <w:rFonts w:ascii="Trebuchet MS" w:hAnsi="Trebuchet MS" w:cs="Trebuchet MS"/>
          <w:sz w:val="21"/>
          <w:szCs w:val="21"/>
        </w:rPr>
        <w:t xml:space="preserve"> sono costituite dalle imposte (Ici, Addizionale Irpef, Compartecipazione all’Irpef, Imposta sulla pubblicità, Imposta sul consumo di energia elettrica e altro), dalle tasse (</w:t>
      </w:r>
      <w:proofErr w:type="spellStart"/>
      <w:r>
        <w:rPr>
          <w:rFonts w:ascii="Trebuchet MS" w:hAnsi="Trebuchet MS" w:cs="Trebuchet MS"/>
          <w:sz w:val="21"/>
          <w:szCs w:val="21"/>
        </w:rPr>
        <w:t>Tarsu</w:t>
      </w:r>
      <w:proofErr w:type="spellEnd"/>
      <w:r>
        <w:rPr>
          <w:rFonts w:ascii="Trebuchet MS" w:hAnsi="Trebuchet MS" w:cs="Trebuchet MS"/>
          <w:sz w:val="21"/>
          <w:szCs w:val="21"/>
        </w:rPr>
        <w:t xml:space="preserve">, </w:t>
      </w:r>
      <w:proofErr w:type="spellStart"/>
      <w:r>
        <w:rPr>
          <w:rFonts w:ascii="Trebuchet MS" w:hAnsi="Trebuchet MS" w:cs="Trebuchet MS"/>
          <w:sz w:val="21"/>
          <w:szCs w:val="21"/>
        </w:rPr>
        <w:t>Tosap</w:t>
      </w:r>
      <w:proofErr w:type="spellEnd"/>
      <w:r>
        <w:rPr>
          <w:rFonts w:ascii="Trebuchet MS" w:hAnsi="Trebuchet MS" w:cs="Trebuchet MS"/>
          <w:sz w:val="21"/>
          <w:szCs w:val="21"/>
        </w:rPr>
        <w:t>) e dai tributi speciali (diritti sulle pubbliche affissioni).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Tra le </w:t>
      </w:r>
      <w:r>
        <w:rPr>
          <w:rFonts w:ascii="Trebuchet MS" w:hAnsi="Trebuchet MS" w:cs="Trebuchet MS"/>
          <w:b/>
          <w:bCs/>
          <w:sz w:val="21"/>
          <w:szCs w:val="21"/>
        </w:rPr>
        <w:t>entrate derivanti da trasferimenti</w:t>
      </w:r>
      <w:r>
        <w:rPr>
          <w:rFonts w:ascii="Trebuchet MS" w:hAnsi="Trebuchet MS" w:cs="Trebuchet MS"/>
          <w:sz w:val="21"/>
          <w:szCs w:val="21"/>
        </w:rPr>
        <w:t xml:space="preserve"> e contributi correnti da parte dello Stato, delle Regioni di altri enti del settore pubblico, classificate al titolo </w:t>
      </w:r>
      <w:proofErr w:type="spellStart"/>
      <w:r>
        <w:rPr>
          <w:rFonts w:ascii="Trebuchet MS" w:hAnsi="Trebuchet MS" w:cs="Trebuchet MS"/>
          <w:sz w:val="21"/>
          <w:szCs w:val="21"/>
        </w:rPr>
        <w:t>II°</w:t>
      </w:r>
      <w:proofErr w:type="spellEnd"/>
      <w:r>
        <w:rPr>
          <w:rFonts w:ascii="Trebuchet MS" w:hAnsi="Trebuchet MS" w:cs="Trebuchet MS"/>
          <w:sz w:val="21"/>
          <w:szCs w:val="21"/>
        </w:rPr>
        <w:t>, rivestono particolare rilevanza i trasferimenti erariali, diretti a finanziare i servizi ritenuti necessari degli enti locali.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Le </w:t>
      </w:r>
      <w:r>
        <w:rPr>
          <w:rFonts w:ascii="Trebuchet MS" w:hAnsi="Trebuchet MS" w:cs="Trebuchet MS"/>
          <w:b/>
          <w:bCs/>
          <w:sz w:val="21"/>
          <w:szCs w:val="21"/>
        </w:rPr>
        <w:t>entrate extra-tributarie</w:t>
      </w:r>
      <w:r>
        <w:rPr>
          <w:rFonts w:ascii="Trebuchet MS" w:hAnsi="Trebuchet MS" w:cs="Trebuchet MS"/>
          <w:sz w:val="21"/>
          <w:szCs w:val="21"/>
        </w:rPr>
        <w:t xml:space="preserve"> sono rappresentate dai proventi dei servizi pubblici, dai proventi dei beni patrimoniali, dai proventi finanziari, gli utili da aziende speciali e partecipate e altri proventi. In sostanza si tratta delle tariffe e altri proventi per la fruizione di beni e per o servizi resi ai cittadini.</w:t>
      </w:r>
    </w:p>
    <w:p w:rsidR="004854B0" w:rsidRDefault="004854B0" w:rsidP="004854B0">
      <w:pPr>
        <w:autoSpaceDE w:val="0"/>
        <w:autoSpaceDN w:val="0"/>
        <w:adjustRightInd w:val="0"/>
        <w:spacing w:after="0" w:line="360" w:lineRule="auto"/>
        <w:rPr>
          <w:rFonts w:ascii="Trebuchet MS" w:hAnsi="Trebuchet MS" w:cs="Trebuchet MS"/>
          <w:i/>
          <w:iCs/>
          <w:noProof/>
          <w:color w:val="847764"/>
          <w:sz w:val="18"/>
          <w:szCs w:val="18"/>
        </w:rPr>
      </w:pPr>
    </w:p>
    <w:p w:rsidR="00D62B20" w:rsidRDefault="00D62B20" w:rsidP="004854B0">
      <w:pPr>
        <w:autoSpaceDE w:val="0"/>
        <w:autoSpaceDN w:val="0"/>
        <w:adjustRightInd w:val="0"/>
        <w:spacing w:after="0" w:line="360" w:lineRule="auto"/>
        <w:rPr>
          <w:rFonts w:ascii="Calibri" w:hAnsi="Calibri" w:cs="Calibri"/>
        </w:rPr>
      </w:pPr>
      <w:r>
        <w:rPr>
          <w:rFonts w:ascii="Calibri" w:hAnsi="Calibri" w:cs="Calibri"/>
          <w:noProof/>
        </w:rPr>
        <w:drawing>
          <wp:inline distT="0" distB="0" distL="0" distR="0">
            <wp:extent cx="6332220" cy="3552991"/>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6332220" cy="3552991"/>
                    </a:xfrm>
                    <a:prstGeom prst="rect">
                      <a:avLst/>
                    </a:prstGeom>
                    <a:noFill/>
                    <a:ln w="9525">
                      <a:noFill/>
                      <a:miter lim="800000"/>
                      <a:headEnd/>
                      <a:tailEnd/>
                    </a:ln>
                  </pic:spPr>
                </pic:pic>
              </a:graphicData>
            </a:graphic>
          </wp:inline>
        </w:drawing>
      </w:r>
    </w:p>
    <w:p w:rsidR="00DD0BB8" w:rsidRDefault="00DD0BB8" w:rsidP="004854B0">
      <w:pPr>
        <w:autoSpaceDE w:val="0"/>
        <w:autoSpaceDN w:val="0"/>
        <w:adjustRightInd w:val="0"/>
        <w:spacing w:before="113" w:after="227" w:line="240" w:lineRule="auto"/>
        <w:rPr>
          <w:rFonts w:ascii="Trebuchet MS" w:hAnsi="Trebuchet MS" w:cs="Trebuchet MS"/>
          <w:color w:val="000000"/>
          <w:sz w:val="28"/>
          <w:szCs w:val="28"/>
          <w:highlight w:val="white"/>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28"/>
          <w:szCs w:val="28"/>
          <w:highlight w:val="white"/>
        </w:rPr>
      </w:pPr>
      <w:r>
        <w:rPr>
          <w:rFonts w:ascii="Trebuchet MS" w:hAnsi="Trebuchet MS" w:cs="Trebuchet MS"/>
          <w:color w:val="000000"/>
          <w:sz w:val="28"/>
          <w:szCs w:val="28"/>
          <w:highlight w:val="white"/>
        </w:rPr>
        <w:t>Evoluzione delle entrate correnti per abitante</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890"/>
        <w:gridCol w:w="1474"/>
        <w:gridCol w:w="1484"/>
        <w:gridCol w:w="1458"/>
        <w:gridCol w:w="1164"/>
        <w:gridCol w:w="1229"/>
        <w:gridCol w:w="1241"/>
        <w:gridCol w:w="1182"/>
      </w:tblGrid>
      <w:tr w:rsidR="00D62B20" w:rsidRPr="00D62B20" w:rsidTr="00D62B20">
        <w:trPr>
          <w:trHeight w:val="735"/>
          <w:tblCellSpacing w:w="0" w:type="dxa"/>
        </w:trPr>
        <w:tc>
          <w:tcPr>
            <w:tcW w:w="440"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Anni</w:t>
            </w:r>
          </w:p>
        </w:tc>
        <w:tc>
          <w:tcPr>
            <w:tcW w:w="728"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Entrate tributarie (accertato)</w:t>
            </w:r>
          </w:p>
        </w:tc>
        <w:tc>
          <w:tcPr>
            <w:tcW w:w="733"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Entrate per trasferimenti (accertato)</w:t>
            </w:r>
          </w:p>
        </w:tc>
        <w:tc>
          <w:tcPr>
            <w:tcW w:w="720"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Entrate extra tributarie (accertato)</w:t>
            </w:r>
          </w:p>
        </w:tc>
        <w:tc>
          <w:tcPr>
            <w:tcW w:w="575"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N. abitanti</w:t>
            </w:r>
          </w:p>
        </w:tc>
        <w:tc>
          <w:tcPr>
            <w:tcW w:w="607"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Entrate tributarie per abitante</w:t>
            </w:r>
          </w:p>
        </w:tc>
        <w:tc>
          <w:tcPr>
            <w:tcW w:w="613"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Entrate per trasferimenti per abitante</w:t>
            </w:r>
          </w:p>
        </w:tc>
        <w:tc>
          <w:tcPr>
            <w:tcW w:w="594" w:type="pct"/>
            <w:tcBorders>
              <w:top w:val="outset" w:sz="6" w:space="0" w:color="CCCCCC"/>
              <w:left w:val="outset" w:sz="6" w:space="0" w:color="CCCCCC"/>
              <w:bottom w:val="outset" w:sz="6" w:space="0" w:color="CCCCCC"/>
              <w:right w:val="outset" w:sz="6" w:space="0" w:color="CCCCCC"/>
            </w:tcBorders>
            <w:vAlign w:val="center"/>
            <w:hideMark/>
          </w:tcPr>
          <w:p w:rsidR="00D62B20" w:rsidRPr="00D62B20" w:rsidRDefault="00D62B20" w:rsidP="00D62B20">
            <w:pPr>
              <w:spacing w:before="100" w:beforeAutospacing="1" w:after="0" w:line="240" w:lineRule="auto"/>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Entrate extra tributarie per abitante</w:t>
            </w:r>
          </w:p>
        </w:tc>
      </w:tr>
      <w:tr w:rsidR="00D62B20" w:rsidRPr="00D62B20" w:rsidTr="00D62B20">
        <w:trPr>
          <w:tblCellSpacing w:w="0" w:type="dxa"/>
        </w:trPr>
        <w:tc>
          <w:tcPr>
            <w:tcW w:w="44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p>
        </w:tc>
        <w:tc>
          <w:tcPr>
            <w:tcW w:w="728"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22" w:name="tabella_11_colonna_1"/>
            <w:bookmarkEnd w:id="22"/>
            <w:r w:rsidRPr="00D62B20">
              <w:rPr>
                <w:rFonts w:ascii="Trebuchet MS" w:eastAsia="Times New Roman" w:hAnsi="Trebuchet MS" w:cs="Times New Roman"/>
                <w:sz w:val="16"/>
                <w:szCs w:val="16"/>
              </w:rPr>
              <w:t>C1</w:t>
            </w:r>
          </w:p>
        </w:tc>
        <w:tc>
          <w:tcPr>
            <w:tcW w:w="733"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23" w:name="tabella_11_colonna_2"/>
            <w:bookmarkEnd w:id="23"/>
            <w:r w:rsidRPr="00D62B20">
              <w:rPr>
                <w:rFonts w:ascii="Trebuchet MS" w:eastAsia="Times New Roman" w:hAnsi="Trebuchet MS" w:cs="Times New Roman"/>
                <w:sz w:val="16"/>
                <w:szCs w:val="16"/>
              </w:rPr>
              <w:t>C2</w:t>
            </w:r>
          </w:p>
        </w:tc>
        <w:tc>
          <w:tcPr>
            <w:tcW w:w="72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24" w:name="tabella_11_colonna_3"/>
            <w:bookmarkEnd w:id="24"/>
            <w:r w:rsidRPr="00D62B20">
              <w:rPr>
                <w:rFonts w:ascii="Trebuchet MS" w:eastAsia="Times New Roman" w:hAnsi="Trebuchet MS" w:cs="Times New Roman"/>
                <w:sz w:val="16"/>
                <w:szCs w:val="16"/>
              </w:rPr>
              <w:t>C3</w:t>
            </w:r>
          </w:p>
        </w:tc>
        <w:tc>
          <w:tcPr>
            <w:tcW w:w="575"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25" w:name="tabella_11_colonna_4"/>
            <w:bookmarkEnd w:id="25"/>
            <w:r w:rsidRPr="00D62B20">
              <w:rPr>
                <w:rFonts w:ascii="Trebuchet MS" w:eastAsia="Times New Roman" w:hAnsi="Trebuchet MS" w:cs="Times New Roman"/>
                <w:sz w:val="16"/>
                <w:szCs w:val="16"/>
              </w:rPr>
              <w:t>C4</w:t>
            </w:r>
          </w:p>
        </w:tc>
        <w:tc>
          <w:tcPr>
            <w:tcW w:w="607"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26" w:name="tabella_11_colonna_5"/>
            <w:bookmarkEnd w:id="26"/>
            <w:r w:rsidRPr="00D62B20">
              <w:rPr>
                <w:rFonts w:ascii="Trebuchet MS" w:eastAsia="Times New Roman" w:hAnsi="Trebuchet MS" w:cs="Times New Roman"/>
                <w:sz w:val="16"/>
                <w:szCs w:val="16"/>
              </w:rPr>
              <w:t>C5</w:t>
            </w:r>
          </w:p>
        </w:tc>
        <w:tc>
          <w:tcPr>
            <w:tcW w:w="613"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27" w:name="tabella_11_colonna_6"/>
            <w:bookmarkEnd w:id="27"/>
            <w:r w:rsidRPr="00D62B20">
              <w:rPr>
                <w:rFonts w:ascii="Trebuchet MS" w:eastAsia="Times New Roman" w:hAnsi="Trebuchet MS" w:cs="Times New Roman"/>
                <w:sz w:val="16"/>
                <w:szCs w:val="16"/>
              </w:rPr>
              <w:t>C6</w:t>
            </w:r>
          </w:p>
        </w:tc>
        <w:tc>
          <w:tcPr>
            <w:tcW w:w="594"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40" w:lineRule="auto"/>
              <w:rPr>
                <w:rFonts w:ascii="Trebuchet MS" w:eastAsia="Times New Roman" w:hAnsi="Trebuchet MS" w:cs="Times New Roman"/>
                <w:sz w:val="16"/>
                <w:szCs w:val="16"/>
              </w:rPr>
            </w:pPr>
            <w:bookmarkStart w:id="28" w:name="tabella_11_colonna_7"/>
            <w:bookmarkEnd w:id="28"/>
            <w:r w:rsidRPr="00D62B20">
              <w:rPr>
                <w:rFonts w:ascii="Trebuchet MS" w:eastAsia="Times New Roman" w:hAnsi="Trebuchet MS" w:cs="Times New Roman"/>
                <w:sz w:val="16"/>
                <w:szCs w:val="16"/>
              </w:rPr>
              <w:t>C7</w:t>
            </w:r>
          </w:p>
        </w:tc>
      </w:tr>
      <w:tr w:rsidR="00D62B20" w:rsidRPr="00D62B20" w:rsidTr="00D62B20">
        <w:trPr>
          <w:trHeight w:val="225"/>
          <w:tblCellSpacing w:w="0" w:type="dxa"/>
        </w:trPr>
        <w:tc>
          <w:tcPr>
            <w:tcW w:w="44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2010</w:t>
            </w:r>
          </w:p>
        </w:tc>
        <w:tc>
          <w:tcPr>
            <w:tcW w:w="728"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4E20BA"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888.324,62</w:t>
            </w:r>
          </w:p>
        </w:tc>
        <w:tc>
          <w:tcPr>
            <w:tcW w:w="733"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4E20BA"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1.063.987,26</w:t>
            </w:r>
          </w:p>
        </w:tc>
        <w:tc>
          <w:tcPr>
            <w:tcW w:w="72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496.098,44</w:t>
            </w:r>
          </w:p>
        </w:tc>
        <w:tc>
          <w:tcPr>
            <w:tcW w:w="575"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3684</w:t>
            </w:r>
          </w:p>
        </w:tc>
        <w:tc>
          <w:tcPr>
            <w:tcW w:w="607"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rebuchet MS" w:eastAsia="Times New Roman" w:hAnsi="Trebuchet MS" w:cs="Times New Roman"/>
                <w:sz w:val="16"/>
                <w:szCs w:val="16"/>
              </w:rPr>
              <w:t>241,13</w:t>
            </w:r>
          </w:p>
        </w:tc>
        <w:tc>
          <w:tcPr>
            <w:tcW w:w="613"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rebuchet MS" w:eastAsia="Times New Roman" w:hAnsi="Trebuchet MS" w:cs="Times New Roman"/>
                <w:sz w:val="16"/>
                <w:szCs w:val="16"/>
              </w:rPr>
              <w:t>288,81</w:t>
            </w:r>
          </w:p>
        </w:tc>
        <w:tc>
          <w:tcPr>
            <w:tcW w:w="594"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rebuchet MS" w:eastAsia="Times New Roman" w:hAnsi="Trebuchet MS" w:cs="Times New Roman"/>
                <w:sz w:val="16"/>
                <w:szCs w:val="16"/>
              </w:rPr>
              <w:t>134,66</w:t>
            </w:r>
          </w:p>
        </w:tc>
      </w:tr>
      <w:tr w:rsidR="00D62B20" w:rsidRPr="00D62B20" w:rsidTr="00D62B20">
        <w:trPr>
          <w:trHeight w:val="225"/>
          <w:tblCellSpacing w:w="0" w:type="dxa"/>
        </w:trPr>
        <w:tc>
          <w:tcPr>
            <w:tcW w:w="44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2011</w:t>
            </w:r>
          </w:p>
        </w:tc>
        <w:tc>
          <w:tcPr>
            <w:tcW w:w="728"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1.874.404,44</w:t>
            </w:r>
          </w:p>
        </w:tc>
        <w:tc>
          <w:tcPr>
            <w:tcW w:w="733"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136.002,42</w:t>
            </w:r>
          </w:p>
        </w:tc>
        <w:tc>
          <w:tcPr>
            <w:tcW w:w="72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561.801,94</w:t>
            </w:r>
          </w:p>
        </w:tc>
        <w:tc>
          <w:tcPr>
            <w:tcW w:w="575"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3696</w:t>
            </w:r>
          </w:p>
        </w:tc>
        <w:tc>
          <w:tcPr>
            <w:tcW w:w="607"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507,14</w:t>
            </w:r>
          </w:p>
        </w:tc>
        <w:tc>
          <w:tcPr>
            <w:tcW w:w="613"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36,80</w:t>
            </w:r>
          </w:p>
        </w:tc>
        <w:tc>
          <w:tcPr>
            <w:tcW w:w="594"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152,00</w:t>
            </w:r>
          </w:p>
        </w:tc>
      </w:tr>
      <w:tr w:rsidR="00D62B20" w:rsidRPr="00D62B20" w:rsidTr="00D62B20">
        <w:trPr>
          <w:trHeight w:val="225"/>
          <w:tblCellSpacing w:w="0" w:type="dxa"/>
        </w:trPr>
        <w:tc>
          <w:tcPr>
            <w:tcW w:w="44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2012</w:t>
            </w:r>
          </w:p>
        </w:tc>
        <w:tc>
          <w:tcPr>
            <w:tcW w:w="728"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1.999.752,25</w:t>
            </w:r>
          </w:p>
        </w:tc>
        <w:tc>
          <w:tcPr>
            <w:tcW w:w="733"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171.308,46</w:t>
            </w:r>
          </w:p>
        </w:tc>
        <w:tc>
          <w:tcPr>
            <w:tcW w:w="72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544.75,62</w:t>
            </w:r>
          </w:p>
        </w:tc>
        <w:tc>
          <w:tcPr>
            <w:tcW w:w="575"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3695</w:t>
            </w:r>
          </w:p>
        </w:tc>
        <w:tc>
          <w:tcPr>
            <w:tcW w:w="607"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541,20</w:t>
            </w:r>
          </w:p>
        </w:tc>
        <w:tc>
          <w:tcPr>
            <w:tcW w:w="613"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43,36</w:t>
            </w:r>
          </w:p>
        </w:tc>
        <w:tc>
          <w:tcPr>
            <w:tcW w:w="594"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147,44</w:t>
            </w:r>
          </w:p>
        </w:tc>
      </w:tr>
      <w:tr w:rsidR="00D62B20" w:rsidRPr="00D62B20" w:rsidTr="00D62B20">
        <w:trPr>
          <w:trHeight w:val="225"/>
          <w:tblCellSpacing w:w="0" w:type="dxa"/>
        </w:trPr>
        <w:tc>
          <w:tcPr>
            <w:tcW w:w="44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2013</w:t>
            </w:r>
          </w:p>
        </w:tc>
        <w:tc>
          <w:tcPr>
            <w:tcW w:w="728"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1.935.766,23</w:t>
            </w:r>
          </w:p>
        </w:tc>
        <w:tc>
          <w:tcPr>
            <w:tcW w:w="733"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330.520,45</w:t>
            </w:r>
          </w:p>
        </w:tc>
        <w:tc>
          <w:tcPr>
            <w:tcW w:w="72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571.267,73</w:t>
            </w:r>
          </w:p>
        </w:tc>
        <w:tc>
          <w:tcPr>
            <w:tcW w:w="575"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3697</w:t>
            </w:r>
          </w:p>
        </w:tc>
        <w:tc>
          <w:tcPr>
            <w:tcW w:w="607"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523,60</w:t>
            </w:r>
          </w:p>
        </w:tc>
        <w:tc>
          <w:tcPr>
            <w:tcW w:w="613"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89,40</w:t>
            </w:r>
          </w:p>
        </w:tc>
        <w:tc>
          <w:tcPr>
            <w:tcW w:w="594"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154,52</w:t>
            </w:r>
          </w:p>
        </w:tc>
      </w:tr>
      <w:tr w:rsidR="00D62B20" w:rsidRPr="00D62B20" w:rsidTr="00D62B20">
        <w:trPr>
          <w:trHeight w:val="225"/>
          <w:tblCellSpacing w:w="0" w:type="dxa"/>
        </w:trPr>
        <w:tc>
          <w:tcPr>
            <w:tcW w:w="44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2014</w:t>
            </w:r>
          </w:p>
        </w:tc>
        <w:tc>
          <w:tcPr>
            <w:tcW w:w="728"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1.963.853,59</w:t>
            </w:r>
          </w:p>
        </w:tc>
        <w:tc>
          <w:tcPr>
            <w:tcW w:w="733"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201.651,68</w:t>
            </w:r>
          </w:p>
        </w:tc>
        <w:tc>
          <w:tcPr>
            <w:tcW w:w="72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483.730,23</w:t>
            </w:r>
          </w:p>
        </w:tc>
        <w:tc>
          <w:tcPr>
            <w:tcW w:w="575"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3697</w:t>
            </w:r>
          </w:p>
        </w:tc>
        <w:tc>
          <w:tcPr>
            <w:tcW w:w="607"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531,20</w:t>
            </w:r>
          </w:p>
        </w:tc>
        <w:tc>
          <w:tcPr>
            <w:tcW w:w="613"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54,54</w:t>
            </w:r>
          </w:p>
        </w:tc>
        <w:tc>
          <w:tcPr>
            <w:tcW w:w="594"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130,84</w:t>
            </w:r>
          </w:p>
        </w:tc>
      </w:tr>
      <w:tr w:rsidR="00D62B20" w:rsidRPr="00D62B20" w:rsidTr="00D62B20">
        <w:trPr>
          <w:trHeight w:val="225"/>
          <w:tblCellSpacing w:w="0" w:type="dxa"/>
        </w:trPr>
        <w:tc>
          <w:tcPr>
            <w:tcW w:w="44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2015</w:t>
            </w:r>
          </w:p>
        </w:tc>
        <w:tc>
          <w:tcPr>
            <w:tcW w:w="728"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1.927.444,24</w:t>
            </w:r>
          </w:p>
        </w:tc>
        <w:tc>
          <w:tcPr>
            <w:tcW w:w="733"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221.366,10</w:t>
            </w:r>
          </w:p>
        </w:tc>
        <w:tc>
          <w:tcPr>
            <w:tcW w:w="72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25"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512.641,49</w:t>
            </w:r>
          </w:p>
        </w:tc>
        <w:tc>
          <w:tcPr>
            <w:tcW w:w="575"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25"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3663</w:t>
            </w:r>
          </w:p>
        </w:tc>
        <w:tc>
          <w:tcPr>
            <w:tcW w:w="607"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526,19</w:t>
            </w:r>
          </w:p>
        </w:tc>
        <w:tc>
          <w:tcPr>
            <w:tcW w:w="613"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60,43</w:t>
            </w:r>
          </w:p>
        </w:tc>
        <w:tc>
          <w:tcPr>
            <w:tcW w:w="594"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25"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139,95</w:t>
            </w:r>
          </w:p>
        </w:tc>
      </w:tr>
      <w:tr w:rsidR="00D62B20" w:rsidRPr="00D62B20" w:rsidTr="00D62B20">
        <w:trPr>
          <w:trHeight w:val="210"/>
          <w:tblCellSpacing w:w="0" w:type="dxa"/>
        </w:trPr>
        <w:tc>
          <w:tcPr>
            <w:tcW w:w="44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2016</w:t>
            </w:r>
          </w:p>
        </w:tc>
        <w:tc>
          <w:tcPr>
            <w:tcW w:w="728"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1.793.389,28</w:t>
            </w:r>
          </w:p>
        </w:tc>
        <w:tc>
          <w:tcPr>
            <w:tcW w:w="733"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228.664,02</w:t>
            </w:r>
          </w:p>
        </w:tc>
        <w:tc>
          <w:tcPr>
            <w:tcW w:w="720"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D62B20" w:rsidP="00D62B20">
            <w:pPr>
              <w:spacing w:before="100" w:beforeAutospacing="1" w:after="0" w:line="210" w:lineRule="atLeas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560.184,05</w:t>
            </w:r>
          </w:p>
        </w:tc>
        <w:tc>
          <w:tcPr>
            <w:tcW w:w="575" w:type="pct"/>
            <w:tcBorders>
              <w:top w:val="outset" w:sz="6" w:space="0" w:color="CCCCCC"/>
              <w:left w:val="outset" w:sz="6" w:space="0" w:color="CCCCCC"/>
              <w:bottom w:val="outset" w:sz="6" w:space="0" w:color="CCCCCC"/>
              <w:right w:val="outset" w:sz="6" w:space="0" w:color="CCCCCC"/>
            </w:tcBorders>
            <w:vAlign w:val="bottom"/>
            <w:hideMark/>
          </w:tcPr>
          <w:p w:rsidR="00D62B20" w:rsidRPr="00D62B20" w:rsidRDefault="002805D9" w:rsidP="00D62B20">
            <w:pPr>
              <w:spacing w:before="100" w:beforeAutospacing="1" w:after="0" w:line="210" w:lineRule="atLeast"/>
              <w:rPr>
                <w:rFonts w:ascii="Times New Roman" w:eastAsia="Times New Roman" w:hAnsi="Times New Roman" w:cs="Times New Roman"/>
                <w:sz w:val="24"/>
                <w:szCs w:val="24"/>
              </w:rPr>
            </w:pPr>
            <w:r>
              <w:rPr>
                <w:rFonts w:ascii="Trebuchet MS" w:eastAsia="Times New Roman" w:hAnsi="Trebuchet MS" w:cs="Times New Roman"/>
                <w:sz w:val="16"/>
                <w:szCs w:val="16"/>
              </w:rPr>
              <w:t>3645</w:t>
            </w:r>
          </w:p>
        </w:tc>
        <w:tc>
          <w:tcPr>
            <w:tcW w:w="607"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10"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678,03</w:t>
            </w:r>
          </w:p>
        </w:tc>
        <w:tc>
          <w:tcPr>
            <w:tcW w:w="613"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10"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62,73</w:t>
            </w:r>
          </w:p>
        </w:tc>
        <w:tc>
          <w:tcPr>
            <w:tcW w:w="594" w:type="pct"/>
            <w:tcBorders>
              <w:top w:val="outset" w:sz="6" w:space="0" w:color="CCCCCC"/>
              <w:left w:val="outset" w:sz="6" w:space="0" w:color="CCCCCC"/>
              <w:bottom w:val="outset" w:sz="6" w:space="0" w:color="CCCCCC"/>
              <w:right w:val="outset" w:sz="6" w:space="0" w:color="CCCCCC"/>
            </w:tcBorders>
            <w:vAlign w:val="bottom"/>
            <w:hideMark/>
          </w:tcPr>
          <w:p w:rsidR="00D62B20" w:rsidRPr="002805D9" w:rsidRDefault="002805D9" w:rsidP="00D62B20">
            <w:pPr>
              <w:spacing w:before="100" w:beforeAutospacing="1" w:after="0" w:line="210" w:lineRule="atLeast"/>
              <w:rPr>
                <w:rFonts w:ascii="Times New Roman" w:eastAsia="Times New Roman" w:hAnsi="Times New Roman" w:cs="Times New Roman"/>
                <w:sz w:val="16"/>
                <w:szCs w:val="16"/>
              </w:rPr>
            </w:pPr>
            <w:r w:rsidRPr="002805D9">
              <w:rPr>
                <w:rFonts w:ascii="Times New Roman" w:eastAsia="Times New Roman" w:hAnsi="Times New Roman" w:cs="Times New Roman"/>
                <w:sz w:val="16"/>
                <w:szCs w:val="16"/>
              </w:rPr>
              <w:t>153,69</w:t>
            </w:r>
          </w:p>
        </w:tc>
      </w:tr>
    </w:tbl>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Evoluzione delle entrate correnti per abitante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Dalla tabella emerge come le ultime norme sui trasferimenti erariali hanno influito sull'evoluzione delle entrate correnti per ogni abitante a causa del continuo cambiamento di classificazioni dei trasferimenti erariali previsti negli ultimi anni dal sistema di finanza locale.</w:t>
      </w:r>
    </w:p>
    <w:p w:rsidR="004854B0" w:rsidRDefault="004854B0" w:rsidP="004854B0">
      <w:pPr>
        <w:autoSpaceDE w:val="0"/>
        <w:autoSpaceDN w:val="0"/>
        <w:adjustRightInd w:val="0"/>
        <w:spacing w:after="0" w:line="360" w:lineRule="auto"/>
        <w:ind w:firstLine="539"/>
        <w:rPr>
          <w:rFonts w:ascii="Calibri" w:hAnsi="Calibri" w:cs="Calibri"/>
        </w:rPr>
      </w:pPr>
    </w:p>
    <w:p w:rsidR="00F246AB" w:rsidRDefault="00F246AB" w:rsidP="004854B0">
      <w:pPr>
        <w:autoSpaceDE w:val="0"/>
        <w:autoSpaceDN w:val="0"/>
        <w:adjustRightInd w:val="0"/>
        <w:spacing w:after="0" w:line="360" w:lineRule="auto"/>
        <w:ind w:firstLine="539"/>
        <w:rPr>
          <w:rFonts w:ascii="Calibri" w:hAnsi="Calibri" w:cs="Calibri"/>
        </w:rPr>
      </w:pPr>
    </w:p>
    <w:p w:rsidR="00F246AB" w:rsidRDefault="00F246AB" w:rsidP="00F246AB">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Nelle tabelle seguenti sono riportate le incidenze per abitanti delle entrate correnti dall'anno  2009 all'anno 2015 </w:t>
      </w:r>
    </w:p>
    <w:p w:rsidR="004854B0" w:rsidRDefault="004854B0" w:rsidP="004854B0">
      <w:pPr>
        <w:autoSpaceDE w:val="0"/>
        <w:autoSpaceDN w:val="0"/>
        <w:adjustRightInd w:val="0"/>
        <w:spacing w:after="0" w:line="360" w:lineRule="auto"/>
        <w:ind w:firstLine="539"/>
        <w:rPr>
          <w:rFonts w:ascii="Trebuchet MS" w:hAnsi="Trebuchet MS" w:cs="Trebuchet MS"/>
          <w:i/>
          <w:iCs/>
          <w:noProof/>
          <w:color w:val="847764"/>
          <w:sz w:val="18"/>
          <w:szCs w:val="18"/>
        </w:rPr>
      </w:pPr>
    </w:p>
    <w:p w:rsidR="00D62B20" w:rsidRDefault="00D62B20" w:rsidP="004854B0">
      <w:pPr>
        <w:autoSpaceDE w:val="0"/>
        <w:autoSpaceDN w:val="0"/>
        <w:adjustRightInd w:val="0"/>
        <w:spacing w:after="0" w:line="360" w:lineRule="auto"/>
        <w:ind w:firstLine="539"/>
        <w:rPr>
          <w:rFonts w:ascii="Trebuchet MS" w:hAnsi="Trebuchet MS" w:cs="Trebuchet MS"/>
          <w:i/>
          <w:iCs/>
          <w:noProof/>
          <w:color w:val="847764"/>
          <w:sz w:val="18"/>
          <w:szCs w:val="18"/>
        </w:rPr>
      </w:pPr>
      <w:r>
        <w:rPr>
          <w:rFonts w:ascii="Trebuchet MS" w:hAnsi="Trebuchet MS" w:cs="Trebuchet MS"/>
          <w:i/>
          <w:iCs/>
          <w:noProof/>
          <w:color w:val="847764"/>
          <w:sz w:val="18"/>
          <w:szCs w:val="18"/>
        </w:rPr>
        <w:lastRenderedPageBreak/>
        <w:drawing>
          <wp:inline distT="0" distB="0" distL="0" distR="0">
            <wp:extent cx="6332220" cy="3644506"/>
            <wp:effectExtent l="19050" t="0" r="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6332220" cy="3644506"/>
                    </a:xfrm>
                    <a:prstGeom prst="rect">
                      <a:avLst/>
                    </a:prstGeom>
                    <a:noFill/>
                    <a:ln w="9525">
                      <a:noFill/>
                      <a:miter lim="800000"/>
                      <a:headEnd/>
                      <a:tailEnd/>
                    </a:ln>
                  </pic:spPr>
                </pic:pic>
              </a:graphicData>
            </a:graphic>
          </wp:inline>
        </w:drawing>
      </w:r>
    </w:p>
    <w:p w:rsidR="00F246AB" w:rsidRDefault="00F246AB" w:rsidP="004854B0">
      <w:pPr>
        <w:autoSpaceDE w:val="0"/>
        <w:autoSpaceDN w:val="0"/>
        <w:adjustRightInd w:val="0"/>
        <w:spacing w:after="0" w:line="360" w:lineRule="auto"/>
        <w:ind w:firstLine="539"/>
        <w:rPr>
          <w:rFonts w:ascii="Trebuchet MS" w:hAnsi="Trebuchet MS" w:cs="Trebuchet MS"/>
          <w:i/>
          <w:iCs/>
          <w:noProof/>
          <w:color w:val="847764"/>
          <w:sz w:val="18"/>
          <w:szCs w:val="18"/>
        </w:rPr>
      </w:pPr>
      <w:r>
        <w:rPr>
          <w:rFonts w:ascii="Trebuchet MS" w:hAnsi="Trebuchet MS" w:cs="Trebuchet MS"/>
          <w:i/>
          <w:iCs/>
          <w:noProof/>
          <w:color w:val="847764"/>
          <w:sz w:val="18"/>
          <w:szCs w:val="18"/>
        </w:rPr>
        <w:t>Evoluzione delle entrate tributarie per abitante</w:t>
      </w:r>
    </w:p>
    <w:p w:rsidR="004854B0" w:rsidRDefault="00D62B20" w:rsidP="004854B0">
      <w:pPr>
        <w:autoSpaceDE w:val="0"/>
        <w:autoSpaceDN w:val="0"/>
        <w:adjustRightInd w:val="0"/>
        <w:spacing w:after="0" w:line="360" w:lineRule="auto"/>
        <w:rPr>
          <w:rFonts w:ascii="Calibri" w:hAnsi="Calibri" w:cs="Calibri"/>
        </w:rPr>
      </w:pPr>
      <w:r>
        <w:rPr>
          <w:rFonts w:ascii="Calibri" w:hAnsi="Calibri" w:cs="Calibri"/>
          <w:noProof/>
        </w:rPr>
        <w:drawing>
          <wp:inline distT="0" distB="0" distL="0" distR="0">
            <wp:extent cx="6315075" cy="2409825"/>
            <wp:effectExtent l="19050" t="0" r="0" b="0"/>
            <wp:docPr id="1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6315075" cy="2409825"/>
                    </a:xfrm>
                    <a:prstGeom prst="rect">
                      <a:avLst/>
                    </a:prstGeom>
                    <a:noFill/>
                    <a:ln w="9525">
                      <a:noFill/>
                      <a:miter lim="800000"/>
                      <a:headEnd/>
                      <a:tailEnd/>
                    </a:ln>
                  </pic:spPr>
                </pic:pic>
              </a:graphicData>
            </a:graphic>
          </wp:inline>
        </w:drawing>
      </w:r>
    </w:p>
    <w:p w:rsidR="004854B0" w:rsidRDefault="00F246AB" w:rsidP="004854B0">
      <w:pPr>
        <w:autoSpaceDE w:val="0"/>
        <w:autoSpaceDN w:val="0"/>
        <w:adjustRightInd w:val="0"/>
        <w:spacing w:after="0" w:line="360" w:lineRule="auto"/>
        <w:ind w:firstLine="539"/>
        <w:rPr>
          <w:rFonts w:ascii="Trebuchet MS" w:hAnsi="Trebuchet MS" w:cs="Trebuchet MS"/>
          <w:i/>
          <w:iCs/>
          <w:color w:val="847764"/>
          <w:sz w:val="18"/>
          <w:szCs w:val="18"/>
        </w:rPr>
      </w:pPr>
      <w:r>
        <w:rPr>
          <w:rFonts w:ascii="Trebuchet MS" w:hAnsi="Trebuchet MS" w:cs="Trebuchet MS"/>
          <w:i/>
          <w:iCs/>
          <w:color w:val="847764"/>
          <w:sz w:val="18"/>
          <w:szCs w:val="18"/>
        </w:rPr>
        <w:t>Evoluzione delle entrate da trasferimenti per abitante</w:t>
      </w:r>
    </w:p>
    <w:p w:rsidR="00F246AB" w:rsidRDefault="00F246AB" w:rsidP="004854B0">
      <w:pPr>
        <w:autoSpaceDE w:val="0"/>
        <w:autoSpaceDN w:val="0"/>
        <w:adjustRightInd w:val="0"/>
        <w:spacing w:after="0" w:line="360" w:lineRule="auto"/>
        <w:ind w:firstLine="539"/>
        <w:rPr>
          <w:rFonts w:ascii="Calibri" w:hAnsi="Calibri" w:cs="Calibri"/>
        </w:rPr>
      </w:pPr>
    </w:p>
    <w:p w:rsidR="004854B0" w:rsidRDefault="00D62B20" w:rsidP="004854B0">
      <w:pPr>
        <w:autoSpaceDE w:val="0"/>
        <w:autoSpaceDN w:val="0"/>
        <w:adjustRightInd w:val="0"/>
        <w:spacing w:after="0" w:line="360" w:lineRule="auto"/>
        <w:ind w:firstLine="539"/>
        <w:rPr>
          <w:rFonts w:ascii="Calibri" w:hAnsi="Calibri" w:cs="Calibri"/>
        </w:rPr>
      </w:pPr>
      <w:r>
        <w:rPr>
          <w:rFonts w:ascii="Calibri" w:hAnsi="Calibri" w:cs="Calibri"/>
          <w:noProof/>
        </w:rPr>
        <w:lastRenderedPageBreak/>
        <w:drawing>
          <wp:inline distT="0" distB="0" distL="0" distR="0">
            <wp:extent cx="6248400" cy="2400300"/>
            <wp:effectExtent l="19050" t="0" r="0" b="0"/>
            <wp:docPr id="1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6248400" cy="2400300"/>
                    </a:xfrm>
                    <a:prstGeom prst="rect">
                      <a:avLst/>
                    </a:prstGeom>
                    <a:noFill/>
                    <a:ln w="9525">
                      <a:noFill/>
                      <a:miter lim="800000"/>
                      <a:headEnd/>
                      <a:tailEnd/>
                    </a:ln>
                  </pic:spPr>
                </pic:pic>
              </a:graphicData>
            </a:graphic>
          </wp:inline>
        </w:drawing>
      </w:r>
    </w:p>
    <w:p w:rsidR="00F246AB" w:rsidRDefault="00F246AB" w:rsidP="004854B0">
      <w:pPr>
        <w:autoSpaceDE w:val="0"/>
        <w:autoSpaceDN w:val="0"/>
        <w:adjustRightInd w:val="0"/>
        <w:spacing w:after="0" w:line="360" w:lineRule="auto"/>
        <w:ind w:firstLine="539"/>
        <w:rPr>
          <w:rFonts w:ascii="Calibri" w:hAnsi="Calibri" w:cs="Calibri"/>
        </w:rPr>
      </w:pPr>
    </w:p>
    <w:p w:rsidR="004854B0" w:rsidRDefault="00F246AB" w:rsidP="004854B0">
      <w:pPr>
        <w:autoSpaceDE w:val="0"/>
        <w:autoSpaceDN w:val="0"/>
        <w:adjustRightInd w:val="0"/>
        <w:spacing w:after="0" w:line="360" w:lineRule="auto"/>
        <w:ind w:firstLine="539"/>
        <w:rPr>
          <w:rFonts w:ascii="Calibri" w:hAnsi="Calibri" w:cs="Calibri"/>
        </w:rPr>
      </w:pPr>
      <w:r>
        <w:rPr>
          <w:rFonts w:ascii="Calibri" w:hAnsi="Calibri" w:cs="Calibri"/>
        </w:rPr>
        <w:t>Evoluzione delle entrate extratributarie per abitante</w:t>
      </w: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Analisi della spesa – parte investimenti ed opere pubbliche</w:t>
      </w: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Il principio contabile applicato della programmazione richiede l’analisi degli impegni assunti nell’esercizio e in quelli precedenti sulla competenza dell'esercizio in corso e nei successivi.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Tale disposizione si ricollega con l’art. 164, comma 3, del TUEL: "In sede di predisposizione del bilancio di previsione annuale il consiglio dell'ente assicura idoneo finanziamento agli impegni pluriennali assunti nel corso degli esercizi precedenti".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Nelle pagine che seguono sono riportati gli impegni di parte capitale assunti nell'esercizio in corso e nei precedenti. Riporta, per ciascuna missione, programma e macroaggregato, le somme già impegnate. Si tratta di investimenti attivati in anni precedenti e non ancora conclusi.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tabella seguente riporta, per ciascuna missione e programma, l’elenco degli investimenti attivati in anni precedenti ma non ancora conclusi.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In applicazione del principio di competenza finanziaria potenziato, le somme sono prenotate o impegnate sulla competenza degli esercizi nei quali si prevede vengano realizzati i lavori, sulla base dei </w:t>
      </w:r>
      <w:proofErr w:type="spellStart"/>
      <w:r>
        <w:rPr>
          <w:rFonts w:ascii="Trebuchet MS" w:hAnsi="Trebuchet MS" w:cs="Trebuchet MS"/>
          <w:sz w:val="21"/>
          <w:szCs w:val="21"/>
        </w:rPr>
        <w:t>cronoprogrammi</w:t>
      </w:r>
      <w:proofErr w:type="spellEnd"/>
      <w:r>
        <w:rPr>
          <w:rFonts w:ascii="Trebuchet MS" w:hAnsi="Trebuchet MS" w:cs="Trebuchet MS"/>
          <w:sz w:val="21"/>
          <w:szCs w:val="21"/>
        </w:rPr>
        <w:t>, ovvero venga consegnato il bene da parte del fornitore.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In sede di formazione del bilancio, è senza dubbio opportuno disporre del quadro degli investimenti tuttora in corso di esecuzione e della stima dei tempi di realizzazione, in quanto la definizione dei programmi del triennio non può certamente ignorare il volume di risorse (finanziarie e umane) assorbite dal completamento di opere avviate in anni precedenti, </w:t>
      </w:r>
      <w:proofErr w:type="spellStart"/>
      <w:r>
        <w:rPr>
          <w:rFonts w:ascii="Trebuchet MS" w:hAnsi="Trebuchet MS" w:cs="Trebuchet MS"/>
          <w:sz w:val="21"/>
          <w:szCs w:val="21"/>
        </w:rPr>
        <w:t>nonchè</w:t>
      </w:r>
      <w:proofErr w:type="spellEnd"/>
      <w:r>
        <w:rPr>
          <w:rFonts w:ascii="Trebuchet MS" w:hAnsi="Trebuchet MS" w:cs="Trebuchet MS"/>
          <w:sz w:val="21"/>
          <w:szCs w:val="21"/>
        </w:rPr>
        <w:t xml:space="preserve"> i riflessi sul patto di stabilità interno.</w:t>
      </w: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28"/>
          <w:szCs w:val="28"/>
          <w:highlight w:val="white"/>
        </w:rPr>
      </w:pPr>
      <w:r>
        <w:rPr>
          <w:rFonts w:ascii="Trebuchet MS" w:hAnsi="Trebuchet MS" w:cs="Trebuchet MS"/>
          <w:color w:val="000000"/>
          <w:sz w:val="28"/>
          <w:szCs w:val="28"/>
          <w:highlight w:val="white"/>
        </w:rPr>
        <w:lastRenderedPageBreak/>
        <w:t>Impegni di parte capitale assunti nell'esercizio in corso e nei precedenti</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2935"/>
        <w:gridCol w:w="2935"/>
        <w:gridCol w:w="2126"/>
        <w:gridCol w:w="2126"/>
      </w:tblGrid>
      <w:tr w:rsidR="00D62B20" w:rsidRPr="00D62B20" w:rsidTr="00D62B20">
        <w:trPr>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MISSIONE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PROGRAMMA</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IMPEGNI ANNO IN CORSO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IMPEGNI ANNO SUCCESSIVO</w:t>
            </w:r>
          </w:p>
        </w:tc>
      </w:tr>
      <w:tr w:rsidR="00D62B20" w:rsidRPr="00D62B20" w:rsidTr="00D62B20">
        <w:trPr>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Organi istituzionali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135.000,00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Segreteria generale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3 - Gestione economica, finanziaria, programmazione e provveditorato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4 - Gestione delle entrate tributarie e servizi fiscali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5 - Gestione dei beni demaniali e patrimoniali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6 - Ufficio tecnico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7 - Elezioni e consultazioni popolari - Anagrafe e stato civile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8 - Statistica e sistemi informativi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10 - Risorse umane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11 - Altri servizi generali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Giustizia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Uffici giudiziari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3 - Ordine pubblico e sicurezza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Polizia locale e amministrativa</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4 - Istruzione e diritto allo studio</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Istruzione prescolastica</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4 - Istruzione e diritto allo studio</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Altri ordini di istruzione non universitaria</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32.671,67</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4 - Istruzione e diritto allo studio</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6 - Servizi ausiliari all'istruzione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4 - Istruzione e diritto allo studio</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7 - Diritto allo studio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5 - Tutela e valorizzazione dei beni e delle attività culturali</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Valorizzazione dei beni di interesse storico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5 - Tutela e valorizzazione dei beni e delle attività culturali</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Attività culturali e interventi diversi nel settore culturale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6 - Politiche giovanili, sport e tempo libero</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Sport e tempo libero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lastRenderedPageBreak/>
              <w:t>8 - Assetto del territorio ed edilizia abitativa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Urbanistica e assetto del territorio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366,00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8 - Assetto del territorio ed edilizia abitativa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Edilizia residenziale pubblica e locale e piani di edilizia economico-popolare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9 - Sviluppo sostenibile e tutela del territorio e dell'ambiente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Difesa del suolo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9 - Sviluppo sostenibile e tutela del territorio e dell'ambiente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 xml:space="preserve">2 - Tutela, valorizzazione e recupero ambientale </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600,00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9 - Sviluppo sostenibile e tutela del territorio e dell'ambiente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3 - Rifiuti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9 - Sviluppo sostenibile e tutela del territorio e dell'ambiente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4 - Servizio idrico integrato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9 - Sviluppo sostenibile e tutela del territorio e dell'ambiente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5 - Aree protette, parchi naturali, protezione naturalistica e forestazione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9 - Sviluppo sostenibile e tutela del territorio e dell'ambiente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7 - Sviluppo sostenibile territorio montano piccoli Comuni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9 - Sviluppo sostenibile e tutela del territorio e dell'ambiente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8 - Qualità dell'aria e riduzione dell'inquinamento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10 - Trasporti e diritto alla mobilità</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Trasporto pubblico locale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10 - Trasporti e diritto alla mobilità</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5 - Viabilità e infrastrutture stradali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11 - Soccorso civile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Sistema di protezione civile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12 - Diritti sociali, politiche sociali e famiglia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Interventi per l'infanzia e i minori e per asili nido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12 - Diritti sociali, politiche sociali e famiglia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Interventi per la disabilità</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12 - Diritti sociali, politiche sociali e famiglia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3 - Interventi per gli anziani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12 - Diritti sociali, politiche sociali e famiglia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4 - Interventi per i soggetti a rischio di esclusione sociale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12 - Diritti sociali, politiche sociali e famiglia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6 - Interventi per il diritto alla casa</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12 - Diritti sociali, politiche sociali e famiglia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 xml:space="preserve">7 - Programmazione e governo della rete dei servizi sociosanitari e sociali </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12 - Diritti sociali, politiche sociali e famiglia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8 - Cooperazione e associazionismo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12 - Diritti sociali, politiche sociali e famiglia</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9 - Servizio necroscopico e cimiteriale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29.050,00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lastRenderedPageBreak/>
              <w:t>13 - Tutela della salute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7 - Ulteriori spese in materia sanitaria</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14 - Sviluppo economico e competitività</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Commercio - reti distributive - tutela dei consumatori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17 - Energia e diversificazione delle fonti energetiche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Fonti energetiche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31.313,34</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20 - Fondi e accantonamenti</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Fondo di riserva</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20 - Fondi e accantonamenti</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Fondo crediti di dubbia esigibilità</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50 - Debito pubblico</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Quota interessi ammortamento mutui e prestiti obbligazionari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50 - Debito pubblico</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Quota capitale ammortamento mutui e prestiti obbligazionari</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60 - Anticipazioni finanziarie</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Restituzione anticipazioni di tesoreria</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99 - Servizi per conto terzi</w:t>
            </w: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per conto terzi - Partite di giro</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r>
      <w:tr w:rsidR="00D62B20" w:rsidRPr="00D62B20" w:rsidTr="00D62B20">
        <w:trPr>
          <w:tblCellSpacing w:w="0" w:type="dxa"/>
        </w:trPr>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c>
          <w:tcPr>
            <w:tcW w:w="14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TOTALE</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229.001,01</w:t>
            </w:r>
          </w:p>
        </w:tc>
        <w:tc>
          <w:tcPr>
            <w:tcW w:w="10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0,00</w:t>
            </w:r>
          </w:p>
        </w:tc>
      </w:tr>
    </w:tbl>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Impegni di parte capitale assunti nell'esercizio in corso e nei precedenti</w:t>
      </w: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E il relativo riepilogo per missione:</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5060"/>
        <w:gridCol w:w="2531"/>
        <w:gridCol w:w="2531"/>
      </w:tblGrid>
      <w:tr w:rsidR="00D62B20" w:rsidRPr="00D62B20" w:rsidTr="00D62B20">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Missione</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Impegni anno in corso</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center"/>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Impegni anno successivo</w:t>
            </w:r>
          </w:p>
        </w:tc>
      </w:tr>
      <w:tr w:rsidR="00D62B20" w:rsidRPr="00D62B20" w:rsidTr="00D62B20">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1 - Servizi istituzionali, generali e di gestione</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135.000,00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2 - Giustizia</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3 - Ordine pubblico e sicurezza</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4 - Istruzione e diritto allo studio</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32.671,67</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5 - Tutela e valorizzazione dei beni e delle attività culturali</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6 - Politiche giovanili, sport e tempo libero</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8 - Assetto del territorio ed edilizia abitativa</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366,00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9 - Sviluppo sostenibile e tutela del territorio e dell'ambiente</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600,00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lastRenderedPageBreak/>
              <w:t>10 - Trasporti e diritto alla mobilità</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11 - Soccorso civile</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12 - Diritti sociali, politiche sociali e famiglia</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29.050,00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13 - Tutela della salute</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14 - Sviluppo economico e competitività</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17 - Energia e diversificazione delle fonti energetiche</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31.313,34</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20 - Fondi e accantonamenti</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50 - Debito pubblico</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60 - Anticipazioni finanziarie</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99 - Servizi per conto terzi</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sz w:val="16"/>
                <w:szCs w:val="16"/>
              </w:rPr>
              <w:t>0,00</w:t>
            </w:r>
          </w:p>
        </w:tc>
      </w:tr>
      <w:tr w:rsidR="00D62B20" w:rsidRPr="00D62B20" w:rsidTr="00D62B20">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p>
        </w:tc>
      </w:tr>
      <w:tr w:rsidR="00D62B20" w:rsidRPr="00D62B20" w:rsidTr="00D62B20">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TOTALE</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229.001,01</w:t>
            </w:r>
          </w:p>
        </w:tc>
        <w:tc>
          <w:tcPr>
            <w:tcW w:w="1250" w:type="pct"/>
            <w:tcBorders>
              <w:top w:val="outset" w:sz="6" w:space="0" w:color="CCCCCC"/>
              <w:left w:val="outset" w:sz="6" w:space="0" w:color="CCCCCC"/>
              <w:bottom w:val="outset" w:sz="6" w:space="0" w:color="CCCCCC"/>
              <w:right w:val="outset" w:sz="6" w:space="0" w:color="CCCCCC"/>
            </w:tcBorders>
            <w:hideMark/>
          </w:tcPr>
          <w:p w:rsidR="00D62B20" w:rsidRPr="00D62B20" w:rsidRDefault="00D62B20" w:rsidP="00D62B20">
            <w:pPr>
              <w:spacing w:before="100" w:beforeAutospacing="1" w:after="119" w:line="240" w:lineRule="auto"/>
              <w:jc w:val="right"/>
              <w:rPr>
                <w:rFonts w:ascii="Times New Roman" w:eastAsia="Times New Roman" w:hAnsi="Times New Roman" w:cs="Times New Roman"/>
                <w:sz w:val="24"/>
                <w:szCs w:val="24"/>
              </w:rPr>
            </w:pPr>
            <w:r w:rsidRPr="00D62B20">
              <w:rPr>
                <w:rFonts w:ascii="Trebuchet MS" w:eastAsia="Times New Roman" w:hAnsi="Trebuchet MS" w:cs="Times New Roman"/>
                <w:b/>
                <w:bCs/>
                <w:sz w:val="16"/>
                <w:szCs w:val="16"/>
              </w:rPr>
              <w:t>0,00</w:t>
            </w:r>
          </w:p>
        </w:tc>
      </w:tr>
    </w:tbl>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Impegni di parte capitale - riepilogo per Missione</w:t>
      </w:r>
    </w:p>
    <w:p w:rsidR="004854B0" w:rsidRDefault="004854B0" w:rsidP="004854B0">
      <w:pPr>
        <w:autoSpaceDE w:val="0"/>
        <w:autoSpaceDN w:val="0"/>
        <w:adjustRightInd w:val="0"/>
        <w:spacing w:after="0" w:line="360" w:lineRule="auto"/>
        <w:rPr>
          <w:rFonts w:ascii="Calibri" w:hAnsi="Calibri" w:cs="Calibri"/>
        </w:rPr>
      </w:pP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after="0" w:line="360" w:lineRule="auto"/>
        <w:ind w:firstLine="539"/>
        <w:rPr>
          <w:rFonts w:ascii="Trebuchet MS" w:hAnsi="Trebuchet MS" w:cs="Trebuchet MS"/>
          <w:i/>
          <w:iCs/>
          <w:color w:val="847764"/>
          <w:sz w:val="18"/>
          <w:szCs w:val="18"/>
        </w:rPr>
      </w:pPr>
    </w:p>
    <w:p w:rsidR="004A0611" w:rsidRDefault="004A0611" w:rsidP="004854B0">
      <w:pPr>
        <w:autoSpaceDE w:val="0"/>
        <w:autoSpaceDN w:val="0"/>
        <w:adjustRightInd w:val="0"/>
        <w:spacing w:after="0" w:line="360" w:lineRule="auto"/>
        <w:ind w:firstLine="539"/>
        <w:rPr>
          <w:rFonts w:ascii="Trebuchet MS" w:hAnsi="Trebuchet MS" w:cs="Trebuchet MS"/>
          <w:i/>
          <w:iCs/>
          <w:color w:val="847764"/>
          <w:sz w:val="18"/>
          <w:szCs w:val="18"/>
        </w:rPr>
      </w:pPr>
    </w:p>
    <w:p w:rsidR="004A0611" w:rsidRDefault="004A0611" w:rsidP="004854B0">
      <w:pPr>
        <w:autoSpaceDE w:val="0"/>
        <w:autoSpaceDN w:val="0"/>
        <w:adjustRightInd w:val="0"/>
        <w:spacing w:after="0" w:line="360" w:lineRule="auto"/>
        <w:ind w:firstLine="539"/>
        <w:rPr>
          <w:rFonts w:ascii="Trebuchet MS" w:hAnsi="Trebuchet MS" w:cs="Trebuchet MS"/>
          <w:i/>
          <w:iCs/>
          <w:color w:val="847764"/>
          <w:sz w:val="18"/>
          <w:szCs w:val="18"/>
        </w:rPr>
      </w:pPr>
    </w:p>
    <w:p w:rsidR="004A0611" w:rsidRDefault="00D62B20" w:rsidP="004854B0">
      <w:pPr>
        <w:autoSpaceDE w:val="0"/>
        <w:autoSpaceDN w:val="0"/>
        <w:adjustRightInd w:val="0"/>
        <w:spacing w:after="0" w:line="360" w:lineRule="auto"/>
        <w:ind w:firstLine="539"/>
        <w:rPr>
          <w:rFonts w:ascii="Calibri" w:hAnsi="Calibri" w:cs="Calibri"/>
        </w:rPr>
      </w:pPr>
      <w:r>
        <w:rPr>
          <w:rFonts w:ascii="Calibri" w:hAnsi="Calibri" w:cs="Calibri"/>
          <w:noProof/>
        </w:rPr>
        <w:lastRenderedPageBreak/>
        <w:drawing>
          <wp:inline distT="0" distB="0" distL="0" distR="0">
            <wp:extent cx="6332220" cy="3593395"/>
            <wp:effectExtent l="19050" t="0" r="0" b="0"/>
            <wp:docPr id="15"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6332220" cy="3593395"/>
                    </a:xfrm>
                    <a:prstGeom prst="rect">
                      <a:avLst/>
                    </a:prstGeom>
                    <a:noFill/>
                    <a:ln w="9525">
                      <a:noFill/>
                      <a:miter lim="800000"/>
                      <a:headEnd/>
                      <a:tailEnd/>
                    </a:ln>
                  </pic:spPr>
                </pic:pic>
              </a:graphicData>
            </a:graphic>
          </wp:inline>
        </w:drawing>
      </w: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Analisi della spesa - parte corrente</w:t>
      </w: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Il principio contabile applicato della programmazione richiede anche un'analisi delle spese correnti quale esame strategico relativo agli impieghi e alla sostenibilità economico finanziaria attuale e prospettica. </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L'analisi delle spese correnti consente la revisione degli stanziamenti allo scopo di razionalizzare e contenere la spesa corrente, in sintonia con gli indirizzi programmatici dell’Amministrazione e con i vincoli di finanza pubblica.</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A tal fine si riporta qui di seguito la situazione degli impegni di parte corrente assunti nell’esercizio e in quelli precedenti sulla competenza dell'esercizio in corso e nei successivi.</w:t>
      </w: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28"/>
          <w:szCs w:val="28"/>
          <w:highlight w:val="white"/>
        </w:rPr>
      </w:pPr>
      <w:r>
        <w:rPr>
          <w:rFonts w:ascii="Trebuchet MS" w:hAnsi="Trebuchet MS" w:cs="Trebuchet MS"/>
          <w:color w:val="000000"/>
          <w:sz w:val="28"/>
          <w:szCs w:val="28"/>
          <w:highlight w:val="white"/>
        </w:rPr>
        <w:t>Impegni di parte corrente assunti nell'esercizio in corso e nei precedenti</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3239"/>
        <w:gridCol w:w="3239"/>
        <w:gridCol w:w="1822"/>
        <w:gridCol w:w="1822"/>
      </w:tblGrid>
      <w:tr w:rsidR="00642287" w:rsidRPr="00642287" w:rsidTr="00642287">
        <w:trPr>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center"/>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Missione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center"/>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Programma</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center"/>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Impegni anno in corso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center"/>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Impegni anno successivo</w:t>
            </w:r>
          </w:p>
        </w:tc>
      </w:tr>
      <w:tr w:rsidR="00642287" w:rsidRPr="00642287" w:rsidTr="00642287">
        <w:trPr>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istituzionali, generali e di gestione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Organi istituzionali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9.093,04</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istituzionali, generali e di gestione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Segreteria generale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209.899,47</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11.151,00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lastRenderedPageBreak/>
              <w:t>1 - Servizi istituzionali, generali e di gestione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3 - Gestione economica, finanziaria, programmazione e provveditorato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140.415,58</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istituzionali, generali e di gestione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4 - Gestione delle entrate tributarie e servizi fiscali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12.320,00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3.660,00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istituzionali, generali e di gestione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5 - Gestione dei beni demaniali e patrimoniali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2.684,88</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istituzionali, generali e di gestione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6 - Ufficio tecnico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200.645,04</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4.000,00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istituzionali, generali e di gestione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7 - Elezioni e consultazioni popolari - Anagrafe e stato civile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11.319,42</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istituzionali, generali e di gestione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8 - Statistica e sistemi informativi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istituzionali, generali e di gestione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10 - Risorse umane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43.465,31</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istituzionali, generali e di gestione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11 - Altri servizi generali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53.306,06</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Giustizia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Uffici giudiziari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3 - Ordine pubblico e sicurezza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Polizia locale e amministrativa</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35.390,71</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4 - Istruzione e diritto allo studio</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Istruzione prescolastica</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8.767,01</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4 - Istruzione e diritto allo studio</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Altri ordini di istruzione non universitaria</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24.782,45</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4 - Istruzione e diritto allo studio</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6 - Servizi ausiliari all'istruzione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80.612,54</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4 - Istruzione e diritto allo studio</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7 - Diritto allo studio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5 - Tutela e valorizzazione dei beni e delle attività culturali</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Valorizzazione dei beni di interesse storico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3.297,57</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5 - Tutela e valorizzazione dei beni e delle attività culturali</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Attività culturali e interventi diversi nel settore culturale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6 - Politiche giovanili, sport e tempo libero</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Sport e tempo libero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2.748,69</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8 - Assetto del territorio ed edilizia abitativa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Urbanistica e assetto del territorio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28.559,07</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24.475,00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8 - Assetto del territorio ed edilizia abitativa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Edilizia residenziale pubblica e locale e piani di edilizia economico-popolare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9 - Sviluppo sostenibile e tutela del territorio e dell'ambiente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Difesa del suolo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9 - Sviluppo sostenibile e tutela del territorio e dell'ambiente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 xml:space="preserve">2 - Tutela, valorizzazione e recupero ambientale </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7.806,58</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20.000,00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lastRenderedPageBreak/>
              <w:t>9 - Sviluppo sostenibile e tutela del territorio e dell'ambiente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3 - Rifiuti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320.286,97</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9 - Sviluppo sostenibile e tutela del territorio e dell'ambiente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4 - Servizio idrico integrato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161.722,20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9 - Sviluppo sostenibile e tutela del territorio e dell'ambiente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5 - Aree protette, parchi naturali, protezione naturalistica e forestazione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9 - Sviluppo sostenibile e tutela del territorio e dell'ambiente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7 - Sviluppo sostenibile territorio montano piccoli Comuni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9 - Sviluppo sostenibile e tutela del territorio e dell'ambiente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8 - Qualità dell'aria e riduzione dell'inquinamento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10 - Trasporti e diritto alla mobilità</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Trasporto pubblico locale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10 - Trasporti e diritto alla mobilità</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5 - Viabilità e infrastrutture stradali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107.272,03</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11 - Soccorso civile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Sistema di protezione civile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12 - Diritti sociali, politiche sociali e famiglia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Interventi per l'infanzia e i minori e per asili nido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12 - Diritti sociali, politiche sociali e famiglia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Interventi per la disabilità</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12 - Diritti sociali, politiche sociali e famiglia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3 - Interventi per gli anziani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12 - Diritti sociali, politiche sociali e famiglia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4 - Interventi per i soggetti a rischio di esclusione sociale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8.967,65</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12 - Diritti sociali, politiche sociali e famiglia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6 - Interventi per il diritto alla casa</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12 - Diritti sociali, politiche sociali e famiglia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 xml:space="preserve">7 - Programmazione e governo della rete dei servizi sociosanitari e sociali </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12 - Diritti sociali, politiche sociali e famiglia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8 - Cooperazione e associazionismo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12 - Diritti sociali, politiche sociali e famiglia</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9 - Servizio necroscopico e cimiteriale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14.648,38</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13 - Tutela della salute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7 - Ulteriori spese in materia sanitaria</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41,32</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14 - Sviluppo economico e competitività</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Commercio - reti distributive - tutela dei consumatori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17 - Energia e diversificazione delle fonti energetiche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Fonti energetiche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20 - Fondi e accantonamenti</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Fondo di riserva</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20 - Fondi e accantonamenti</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Fondo crediti di dubbia esigibilità</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lastRenderedPageBreak/>
              <w:t>50 - Debito pubblico</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Quota interessi ammortamento mutui e prestiti obbligazionari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829,66</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50 - Debito pubblico</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Quota capitale ammortamento mutui e prestiti obbligazionari</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60 - Anticipazioni finanziarie</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Restituzione anticipazioni di tesoreria</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99 - Servizi per conto terzi</w:t>
            </w: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per conto terzi - Partite di giro</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p>
        </w:tc>
      </w:tr>
      <w:tr w:rsidR="00642287" w:rsidRPr="00642287" w:rsidTr="00642287">
        <w:trPr>
          <w:tblCellSpacing w:w="0" w:type="dxa"/>
        </w:trPr>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c>
          <w:tcPr>
            <w:tcW w:w="16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TOTALE</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1.488.881,63</w:t>
            </w:r>
          </w:p>
        </w:tc>
        <w:tc>
          <w:tcPr>
            <w:tcW w:w="9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63.286,00</w:t>
            </w:r>
          </w:p>
        </w:tc>
      </w:tr>
    </w:tbl>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Impegni di parte corrente assunti nell'esercizio in corso e nei precedenti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E il relativo riepilogo per missione:</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5060"/>
        <w:gridCol w:w="2531"/>
        <w:gridCol w:w="2531"/>
      </w:tblGrid>
      <w:tr w:rsidR="00642287" w:rsidRPr="00642287" w:rsidTr="00642287">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center"/>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Missione</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center"/>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Impegni anno in corso</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center"/>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Impegni anno successivo</w:t>
            </w:r>
          </w:p>
        </w:tc>
      </w:tr>
      <w:tr w:rsidR="00642287" w:rsidRPr="00642287" w:rsidTr="00642287">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1 - Servizi istituzionali, generali e di gestione</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683.148,80</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18.811,00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2 - Giustizia</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3 - Ordine pubblico e sicurezza</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35.390,71</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4 - Istruzione e diritto allo studio</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114.162,00</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5 - Tutela e valorizzazione dei beni e delle attività culturali</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3.297,57</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6 - Politiche giovanili, sport e tempo libero</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2.748,69</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8 - Assetto del territorio ed edilizia abitativa</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28.559,07</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24.475,00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9 - Sviluppo sostenibile e tutela del territorio e dell'ambiente</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489.815,75</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20.000,00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10 - Trasporti e diritto alla mobilità</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107.272,03</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11 - Soccorso civile</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12 - Diritti sociali, politiche sociali e famiglia</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23.616,03</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13 - Tutela della salute</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41,32</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14 - Sviluppo economico e competitività</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17 - Energia e diversificazione delle fonti energetiche</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20 - Fondi e accantonamenti</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lastRenderedPageBreak/>
              <w:t>50 - Debito pubblico</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829,66</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60 - Anticipazioni finanziarie</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99 - Servizi per conto terzi</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sz w:val="16"/>
                <w:szCs w:val="16"/>
              </w:rPr>
              <w:t>0,00</w:t>
            </w:r>
          </w:p>
        </w:tc>
      </w:tr>
      <w:tr w:rsidR="00642287" w:rsidRPr="00642287" w:rsidTr="00642287">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p>
        </w:tc>
      </w:tr>
      <w:tr w:rsidR="00642287" w:rsidRPr="00642287" w:rsidTr="00642287">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TOTALE</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1.488.881,63</w:t>
            </w:r>
          </w:p>
        </w:tc>
        <w:tc>
          <w:tcPr>
            <w:tcW w:w="1250" w:type="pct"/>
            <w:tcBorders>
              <w:top w:val="outset" w:sz="6" w:space="0" w:color="CCCCCC"/>
              <w:left w:val="outset" w:sz="6" w:space="0" w:color="CCCCCC"/>
              <w:bottom w:val="outset" w:sz="6" w:space="0" w:color="CCCCCC"/>
              <w:right w:val="outset" w:sz="6" w:space="0" w:color="CCCCCC"/>
            </w:tcBorders>
            <w:hideMark/>
          </w:tcPr>
          <w:p w:rsidR="00642287" w:rsidRPr="00642287" w:rsidRDefault="00642287" w:rsidP="00642287">
            <w:pPr>
              <w:spacing w:before="100" w:beforeAutospacing="1" w:after="119" w:line="240" w:lineRule="auto"/>
              <w:jc w:val="right"/>
              <w:rPr>
                <w:rFonts w:ascii="Times New Roman" w:eastAsia="Times New Roman" w:hAnsi="Times New Roman" w:cs="Times New Roman"/>
                <w:sz w:val="24"/>
                <w:szCs w:val="24"/>
              </w:rPr>
            </w:pPr>
            <w:r w:rsidRPr="00642287">
              <w:rPr>
                <w:rFonts w:ascii="Trebuchet MS" w:eastAsia="Times New Roman" w:hAnsi="Trebuchet MS" w:cs="Times New Roman"/>
                <w:b/>
                <w:bCs/>
                <w:sz w:val="16"/>
                <w:szCs w:val="16"/>
              </w:rPr>
              <w:t>63.286,00</w:t>
            </w:r>
          </w:p>
        </w:tc>
      </w:tr>
    </w:tbl>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Impegni di parte corrente - riepilogo per missione</w:t>
      </w:r>
    </w:p>
    <w:p w:rsidR="004854B0" w:rsidRDefault="000622B8" w:rsidP="004854B0">
      <w:pPr>
        <w:autoSpaceDE w:val="0"/>
        <w:autoSpaceDN w:val="0"/>
        <w:adjustRightInd w:val="0"/>
        <w:spacing w:after="0" w:line="360" w:lineRule="auto"/>
        <w:ind w:firstLine="539"/>
        <w:jc w:val="both"/>
        <w:rPr>
          <w:rFonts w:ascii="Calibri" w:hAnsi="Calibri" w:cs="Calibri"/>
        </w:rPr>
      </w:pPr>
      <w:r>
        <w:rPr>
          <w:rFonts w:ascii="Calibri" w:hAnsi="Calibri" w:cs="Calibri"/>
          <w:noProof/>
        </w:rPr>
        <w:drawing>
          <wp:inline distT="0" distB="0" distL="0" distR="0">
            <wp:extent cx="6332220" cy="3909256"/>
            <wp:effectExtent l="19050" t="0" r="0" b="0"/>
            <wp:docPr id="16"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6332220" cy="3909256"/>
                    </a:xfrm>
                    <a:prstGeom prst="rect">
                      <a:avLst/>
                    </a:prstGeom>
                    <a:noFill/>
                    <a:ln w="9525">
                      <a:noFill/>
                      <a:miter lim="800000"/>
                      <a:headEnd/>
                      <a:tailEnd/>
                    </a:ln>
                  </pic:spPr>
                </pic:pic>
              </a:graphicData>
            </a:graphic>
          </wp:inline>
        </w:drawing>
      </w: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Indebitamento</w:t>
      </w: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L'analisi dell'indebitamento partecipa agli strumenti per la rilevazione del quadro della situazione interna all'Ente. E' racchiusa nel titolo 4 della spesa e viene esposta con la chiave di lettura prevista dalla classificazione di bilancio del nuovo ordinamento contabile: il macroaggregato:</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5060"/>
        <w:gridCol w:w="2531"/>
        <w:gridCol w:w="2531"/>
      </w:tblGrid>
      <w:tr w:rsidR="000622B8" w:rsidRPr="000622B8" w:rsidTr="000622B8">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jc w:val="center"/>
              <w:rPr>
                <w:rFonts w:ascii="Times New Roman" w:eastAsia="Times New Roman" w:hAnsi="Times New Roman" w:cs="Times New Roman"/>
                <w:sz w:val="24"/>
                <w:szCs w:val="24"/>
              </w:rPr>
            </w:pPr>
            <w:r w:rsidRPr="000622B8">
              <w:rPr>
                <w:rFonts w:ascii="Trebuchet MS" w:eastAsia="Times New Roman" w:hAnsi="Trebuchet MS" w:cs="Times New Roman"/>
                <w:b/>
                <w:bCs/>
                <w:sz w:val="16"/>
                <w:szCs w:val="16"/>
              </w:rPr>
              <w:t>Macroaggregato</w:t>
            </w:r>
          </w:p>
        </w:tc>
        <w:tc>
          <w:tcPr>
            <w:tcW w:w="125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jc w:val="center"/>
              <w:rPr>
                <w:rFonts w:ascii="Times New Roman" w:eastAsia="Times New Roman" w:hAnsi="Times New Roman" w:cs="Times New Roman"/>
                <w:sz w:val="24"/>
                <w:szCs w:val="24"/>
              </w:rPr>
            </w:pPr>
            <w:r w:rsidRPr="000622B8">
              <w:rPr>
                <w:rFonts w:ascii="Trebuchet MS" w:eastAsia="Times New Roman" w:hAnsi="Trebuchet MS" w:cs="Times New Roman"/>
                <w:b/>
                <w:bCs/>
                <w:sz w:val="16"/>
                <w:szCs w:val="16"/>
              </w:rPr>
              <w:t>Impegni anno in corso</w:t>
            </w:r>
          </w:p>
        </w:tc>
        <w:tc>
          <w:tcPr>
            <w:tcW w:w="125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jc w:val="center"/>
              <w:rPr>
                <w:rFonts w:ascii="Times New Roman" w:eastAsia="Times New Roman" w:hAnsi="Times New Roman" w:cs="Times New Roman"/>
                <w:sz w:val="24"/>
                <w:szCs w:val="24"/>
              </w:rPr>
            </w:pPr>
            <w:r w:rsidRPr="000622B8">
              <w:rPr>
                <w:rFonts w:ascii="Trebuchet MS" w:eastAsia="Times New Roman" w:hAnsi="Trebuchet MS" w:cs="Times New Roman"/>
                <w:b/>
                <w:bCs/>
                <w:sz w:val="16"/>
                <w:szCs w:val="16"/>
              </w:rPr>
              <w:t>Debito residuo</w:t>
            </w:r>
          </w:p>
        </w:tc>
      </w:tr>
      <w:tr w:rsidR="000622B8" w:rsidRPr="000622B8" w:rsidTr="000622B8">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rPr>
                <w:rFonts w:ascii="Times New Roman" w:eastAsia="Times New Roman" w:hAnsi="Times New Roman" w:cs="Times New Roman"/>
                <w:sz w:val="24"/>
                <w:szCs w:val="24"/>
              </w:rPr>
            </w:pPr>
          </w:p>
        </w:tc>
      </w:tr>
      <w:tr w:rsidR="000622B8" w:rsidRPr="000622B8" w:rsidTr="000622B8">
        <w:trPr>
          <w:trHeight w:val="375"/>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rPr>
                <w:rFonts w:ascii="Times New Roman" w:eastAsia="Times New Roman" w:hAnsi="Times New Roman" w:cs="Times New Roman"/>
                <w:sz w:val="24"/>
                <w:szCs w:val="24"/>
              </w:rPr>
            </w:pPr>
            <w:r w:rsidRPr="000622B8">
              <w:rPr>
                <w:rFonts w:ascii="Trebuchet MS" w:eastAsia="Times New Roman" w:hAnsi="Trebuchet MS" w:cs="Times New Roman"/>
                <w:sz w:val="16"/>
                <w:szCs w:val="16"/>
              </w:rPr>
              <w:t>3 - Rimborso mutui e altri finanziamenti a medio lungo termine</w:t>
            </w:r>
          </w:p>
        </w:tc>
        <w:tc>
          <w:tcPr>
            <w:tcW w:w="125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jc w:val="right"/>
              <w:rPr>
                <w:rFonts w:ascii="Times New Roman" w:eastAsia="Times New Roman" w:hAnsi="Times New Roman" w:cs="Times New Roman"/>
                <w:sz w:val="24"/>
                <w:szCs w:val="24"/>
              </w:rPr>
            </w:pPr>
            <w:r w:rsidRPr="000622B8">
              <w:rPr>
                <w:rFonts w:ascii="Trebuchet MS" w:eastAsia="Times New Roman" w:hAnsi="Trebuchet MS" w:cs="Times New Roman"/>
                <w:sz w:val="16"/>
                <w:szCs w:val="16"/>
              </w:rPr>
              <w:t>62.376,81</w:t>
            </w:r>
          </w:p>
        </w:tc>
        <w:tc>
          <w:tcPr>
            <w:tcW w:w="125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jc w:val="right"/>
              <w:rPr>
                <w:rFonts w:ascii="Times New Roman" w:eastAsia="Times New Roman" w:hAnsi="Times New Roman" w:cs="Times New Roman"/>
                <w:sz w:val="24"/>
                <w:szCs w:val="24"/>
              </w:rPr>
            </w:pPr>
            <w:r w:rsidRPr="000622B8">
              <w:rPr>
                <w:rFonts w:ascii="Trebuchet MS" w:eastAsia="Times New Roman" w:hAnsi="Trebuchet MS" w:cs="Times New Roman"/>
                <w:sz w:val="16"/>
                <w:szCs w:val="16"/>
              </w:rPr>
              <w:t>0,00</w:t>
            </w:r>
          </w:p>
        </w:tc>
      </w:tr>
      <w:tr w:rsidR="000622B8" w:rsidRPr="000622B8" w:rsidTr="000622B8">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jc w:val="right"/>
              <w:rPr>
                <w:rFonts w:ascii="Times New Roman" w:eastAsia="Times New Roman" w:hAnsi="Times New Roman" w:cs="Times New Roman"/>
                <w:sz w:val="24"/>
                <w:szCs w:val="24"/>
              </w:rPr>
            </w:pPr>
          </w:p>
        </w:tc>
        <w:tc>
          <w:tcPr>
            <w:tcW w:w="125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jc w:val="right"/>
              <w:rPr>
                <w:rFonts w:ascii="Times New Roman" w:eastAsia="Times New Roman" w:hAnsi="Times New Roman" w:cs="Times New Roman"/>
                <w:sz w:val="24"/>
                <w:szCs w:val="24"/>
              </w:rPr>
            </w:pPr>
          </w:p>
        </w:tc>
      </w:tr>
      <w:tr w:rsidR="000622B8" w:rsidRPr="000622B8" w:rsidTr="000622B8">
        <w:trPr>
          <w:tblCellSpacing w:w="0" w:type="dxa"/>
        </w:trPr>
        <w:tc>
          <w:tcPr>
            <w:tcW w:w="250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jc w:val="right"/>
              <w:rPr>
                <w:rFonts w:ascii="Times New Roman" w:eastAsia="Times New Roman" w:hAnsi="Times New Roman" w:cs="Times New Roman"/>
                <w:sz w:val="24"/>
                <w:szCs w:val="24"/>
              </w:rPr>
            </w:pPr>
            <w:r w:rsidRPr="000622B8">
              <w:rPr>
                <w:rFonts w:ascii="Trebuchet MS" w:eastAsia="Times New Roman" w:hAnsi="Trebuchet MS" w:cs="Times New Roman"/>
                <w:b/>
                <w:bCs/>
                <w:sz w:val="16"/>
                <w:szCs w:val="16"/>
              </w:rPr>
              <w:lastRenderedPageBreak/>
              <w:t>TOTALE</w:t>
            </w:r>
          </w:p>
        </w:tc>
        <w:tc>
          <w:tcPr>
            <w:tcW w:w="125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jc w:val="right"/>
              <w:rPr>
                <w:rFonts w:ascii="Times New Roman" w:eastAsia="Times New Roman" w:hAnsi="Times New Roman" w:cs="Times New Roman"/>
                <w:sz w:val="24"/>
                <w:szCs w:val="24"/>
              </w:rPr>
            </w:pPr>
            <w:r w:rsidRPr="000622B8">
              <w:rPr>
                <w:rFonts w:ascii="Trebuchet MS" w:eastAsia="Times New Roman" w:hAnsi="Trebuchet MS" w:cs="Times New Roman"/>
                <w:b/>
                <w:bCs/>
                <w:sz w:val="16"/>
                <w:szCs w:val="16"/>
              </w:rPr>
              <w:t>62.376,81</w:t>
            </w:r>
          </w:p>
        </w:tc>
        <w:tc>
          <w:tcPr>
            <w:tcW w:w="1250" w:type="pct"/>
            <w:tcBorders>
              <w:top w:val="outset" w:sz="6" w:space="0" w:color="CCCCCC"/>
              <w:left w:val="outset" w:sz="6" w:space="0" w:color="CCCCCC"/>
              <w:bottom w:val="outset" w:sz="6" w:space="0" w:color="CCCCCC"/>
              <w:right w:val="outset" w:sz="6" w:space="0" w:color="CCCCCC"/>
            </w:tcBorders>
            <w:hideMark/>
          </w:tcPr>
          <w:p w:rsidR="000622B8" w:rsidRPr="000622B8" w:rsidRDefault="000622B8" w:rsidP="000622B8">
            <w:pPr>
              <w:spacing w:before="100" w:beforeAutospacing="1" w:after="119" w:line="240" w:lineRule="auto"/>
              <w:jc w:val="right"/>
              <w:rPr>
                <w:rFonts w:ascii="Times New Roman" w:eastAsia="Times New Roman" w:hAnsi="Times New Roman" w:cs="Times New Roman"/>
                <w:sz w:val="24"/>
                <w:szCs w:val="24"/>
              </w:rPr>
            </w:pPr>
            <w:r w:rsidRPr="000622B8">
              <w:rPr>
                <w:rFonts w:ascii="Trebuchet MS" w:eastAsia="Times New Roman" w:hAnsi="Trebuchet MS" w:cs="Times New Roman"/>
                <w:b/>
                <w:bCs/>
                <w:sz w:val="16"/>
                <w:szCs w:val="16"/>
              </w:rPr>
              <w:t>0,00</w:t>
            </w:r>
          </w:p>
        </w:tc>
      </w:tr>
    </w:tbl>
    <w:p w:rsidR="004854B0" w:rsidRDefault="004854B0" w:rsidP="004854B0">
      <w:pPr>
        <w:autoSpaceDE w:val="0"/>
        <w:autoSpaceDN w:val="0"/>
        <w:adjustRightInd w:val="0"/>
        <w:spacing w:after="0" w:line="360" w:lineRule="auto"/>
        <w:ind w:firstLine="539"/>
        <w:rPr>
          <w:rFonts w:ascii="Calibri" w:hAnsi="Calibri" w:cs="Calibri"/>
        </w:rPr>
      </w:pPr>
    </w:p>
    <w:p w:rsidR="004854B0" w:rsidRDefault="000622B8"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noProof/>
          <w:color w:val="847764"/>
          <w:sz w:val="18"/>
          <w:szCs w:val="18"/>
        </w:rPr>
        <w:drawing>
          <wp:anchor distT="0" distB="0" distL="114300" distR="114300" simplePos="0" relativeHeight="251658240" behindDoc="1" locked="0" layoutInCell="1" allowOverlap="1">
            <wp:simplePos x="0" y="0"/>
            <wp:positionH relativeFrom="column">
              <wp:posOffset>367030</wp:posOffset>
            </wp:positionH>
            <wp:positionV relativeFrom="paragraph">
              <wp:posOffset>460375</wp:posOffset>
            </wp:positionV>
            <wp:extent cx="5989320" cy="3476625"/>
            <wp:effectExtent l="19050" t="0" r="0" b="0"/>
            <wp:wrapTight wrapText="bothSides">
              <wp:wrapPolygon edited="0">
                <wp:start x="-69" y="0"/>
                <wp:lineTo x="-69" y="21304"/>
                <wp:lineTo x="21573" y="21304"/>
                <wp:lineTo x="21573" y="0"/>
                <wp:lineTo x="-69" y="0"/>
              </wp:wrapPolygon>
            </wp:wrapTight>
            <wp:docPr id="17"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5989320" cy="3476625"/>
                    </a:xfrm>
                    <a:prstGeom prst="rect">
                      <a:avLst/>
                    </a:prstGeom>
                    <a:noFill/>
                    <a:ln w="9525">
                      <a:noFill/>
                      <a:miter lim="800000"/>
                      <a:headEnd/>
                      <a:tailEnd/>
                    </a:ln>
                  </pic:spPr>
                </pic:pic>
              </a:graphicData>
            </a:graphic>
          </wp:anchor>
        </w:drawing>
      </w:r>
      <w:r w:rsidR="004854B0">
        <w:rPr>
          <w:rFonts w:ascii="Trebuchet MS" w:hAnsi="Trebuchet MS" w:cs="Trebuchet MS"/>
          <w:i/>
          <w:iCs/>
          <w:color w:val="847764"/>
          <w:sz w:val="18"/>
          <w:szCs w:val="18"/>
        </w:rPr>
        <w:t>Tabella : Indebitamento al 01.01.2016</w:t>
      </w: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Risorse umane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Il quadro della situazione interna dell'Ente si completa con la disponibilità e la gestione delle risorse umane con riferimento alla struttura organizzativa dell’ente in tutte le sue articolazioni e alla sua evoluzione nel tempo.</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La tabella seguente mostra i dipendenti in servizio </w:t>
      </w:r>
      <w:r w:rsidR="0093106E">
        <w:rPr>
          <w:rFonts w:ascii="Trebuchet MS" w:hAnsi="Trebuchet MS" w:cs="Trebuchet MS"/>
          <w:sz w:val="21"/>
          <w:szCs w:val="21"/>
        </w:rPr>
        <w:t>alla data di redazione del presente documento.</w:t>
      </w:r>
    </w:p>
    <w:p w:rsidR="004854B0" w:rsidRDefault="004854B0" w:rsidP="004854B0">
      <w:pPr>
        <w:autoSpaceDE w:val="0"/>
        <w:autoSpaceDN w:val="0"/>
        <w:adjustRightInd w:val="0"/>
        <w:spacing w:after="0" w:line="360" w:lineRule="auto"/>
        <w:ind w:firstLine="539"/>
        <w:rPr>
          <w:rFonts w:ascii="Calibri" w:hAnsi="Calibri" w:cs="Calibri"/>
        </w:rPr>
      </w:pPr>
    </w:p>
    <w:tbl>
      <w:tblPr>
        <w:tblW w:w="5000" w:type="pct"/>
        <w:tblCellMar>
          <w:left w:w="55" w:type="dxa"/>
          <w:right w:w="55" w:type="dxa"/>
        </w:tblCellMar>
        <w:tblLook w:val="0000"/>
      </w:tblPr>
      <w:tblGrid>
        <w:gridCol w:w="1686"/>
        <w:gridCol w:w="2456"/>
        <w:gridCol w:w="1980"/>
        <w:gridCol w:w="1980"/>
        <w:gridCol w:w="1980"/>
      </w:tblGrid>
      <w:tr w:rsidR="004854B0" w:rsidTr="00A46E35">
        <w:trPr>
          <w:trHeight w:val="283"/>
        </w:trPr>
        <w:tc>
          <w:tcPr>
            <w:tcW w:w="836" w:type="pct"/>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p>
        </w:tc>
        <w:tc>
          <w:tcPr>
            <w:tcW w:w="1218" w:type="pct"/>
            <w:tcBorders>
              <w:top w:val="single" w:sz="2" w:space="0" w:color="CCCCCC"/>
              <w:left w:val="single" w:sz="2" w:space="0" w:color="CCCCCC"/>
              <w:bottom w:val="single" w:sz="2" w:space="0" w:color="000000"/>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Qualifica</w:t>
            </w:r>
          </w:p>
        </w:tc>
        <w:tc>
          <w:tcPr>
            <w:tcW w:w="982" w:type="pct"/>
            <w:tcBorders>
              <w:top w:val="single" w:sz="2" w:space="0" w:color="CCCCCC"/>
              <w:left w:val="single" w:sz="2" w:space="0" w:color="CCCCCC"/>
              <w:bottom w:val="single" w:sz="2" w:space="0" w:color="000000"/>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Dipendenti di ruolo</w:t>
            </w:r>
          </w:p>
        </w:tc>
        <w:tc>
          <w:tcPr>
            <w:tcW w:w="982" w:type="pct"/>
            <w:tcBorders>
              <w:top w:val="single" w:sz="2" w:space="0" w:color="CCCCCC"/>
              <w:left w:val="single" w:sz="2" w:space="0" w:color="CCCCCC"/>
              <w:bottom w:val="single" w:sz="2" w:space="0" w:color="000000"/>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Dipendenti non di ruolo</w:t>
            </w:r>
          </w:p>
        </w:tc>
        <w:tc>
          <w:tcPr>
            <w:tcW w:w="983" w:type="pct"/>
            <w:tcBorders>
              <w:top w:val="single" w:sz="2" w:space="0" w:color="CCCCCC"/>
              <w:left w:val="single" w:sz="2" w:space="0" w:color="CCCCCC"/>
              <w:bottom w:val="single" w:sz="2" w:space="0" w:color="000000"/>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Totale</w:t>
            </w:r>
          </w:p>
        </w:tc>
      </w:tr>
      <w:tr w:rsidR="004854B0" w:rsidTr="00A46E35">
        <w:trPr>
          <w:trHeight w:val="6"/>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C1</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C2</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C3</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A1</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A2</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R3</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A3</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R4</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A4</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R5</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A5</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2</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F2EFD">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2</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R6</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B1</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R7</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B2</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R8</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B3</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4</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4</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8</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R9</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B4</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6</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6</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lastRenderedPageBreak/>
              <w:t>R10</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B5</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R11</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B6</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R12</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B7</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1</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F2EFD">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1</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R13</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C1</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4</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4</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R14</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C2</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R15</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C3</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R16</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C4</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1</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1</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R17</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C5</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F2EFD">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5</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F2EFD">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5</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R18</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D1</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1</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1</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R19</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D2</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R20</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D3</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R21</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D4</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R22</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D5</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R23</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D6</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2</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2</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R24</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Segretario</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1</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1</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R25</w:t>
            </w: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Dirigente</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sz w:val="16"/>
                <w:szCs w:val="16"/>
              </w:rPr>
              <w:t>0</w:t>
            </w:r>
          </w:p>
        </w:tc>
      </w:tr>
      <w:tr w:rsidR="004854B0" w:rsidTr="00A46E35">
        <w:trPr>
          <w:trHeight w:val="283"/>
        </w:trPr>
        <w:tc>
          <w:tcPr>
            <w:tcW w:w="836"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1218"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F2EFD" w:rsidP="004F2EFD">
            <w:pPr>
              <w:autoSpaceDE w:val="0"/>
              <w:autoSpaceDN w:val="0"/>
              <w:adjustRightInd w:val="0"/>
              <w:spacing w:after="0" w:line="240" w:lineRule="auto"/>
              <w:jc w:val="center"/>
              <w:rPr>
                <w:rFonts w:ascii="Calibri" w:hAnsi="Calibri" w:cs="Calibri"/>
              </w:rPr>
            </w:pPr>
            <w:r>
              <w:rPr>
                <w:rFonts w:ascii="Calibri" w:hAnsi="Calibri" w:cs="Calibri"/>
              </w:rPr>
              <w:t>26</w:t>
            </w:r>
          </w:p>
        </w:tc>
        <w:tc>
          <w:tcPr>
            <w:tcW w:w="982" w:type="pct"/>
            <w:tcBorders>
              <w:top w:val="single" w:sz="2" w:space="0" w:color="000000"/>
              <w:left w:val="single" w:sz="2" w:space="0" w:color="CCCCCC"/>
              <w:bottom w:val="single" w:sz="2" w:space="0" w:color="CCCCCC"/>
              <w:right w:val="single" w:sz="2" w:space="0" w:color="000000"/>
            </w:tcBorders>
            <w:shd w:val="clear" w:color="000000" w:fill="FFFFFF"/>
          </w:tcPr>
          <w:p w:rsidR="004854B0" w:rsidRDefault="004F2EFD">
            <w:pPr>
              <w:autoSpaceDE w:val="0"/>
              <w:autoSpaceDN w:val="0"/>
              <w:adjustRightInd w:val="0"/>
              <w:spacing w:after="0" w:line="240" w:lineRule="auto"/>
              <w:jc w:val="center"/>
              <w:rPr>
                <w:rFonts w:ascii="Calibri" w:hAnsi="Calibri" w:cs="Calibri"/>
              </w:rPr>
            </w:pPr>
            <w:r>
              <w:rPr>
                <w:rFonts w:ascii="Calibri" w:hAnsi="Calibri" w:cs="Calibri"/>
              </w:rPr>
              <w:t>5</w:t>
            </w:r>
          </w:p>
        </w:tc>
        <w:tc>
          <w:tcPr>
            <w:tcW w:w="983" w:type="pct"/>
            <w:tcBorders>
              <w:top w:val="single" w:sz="2" w:space="0" w:color="000000"/>
              <w:left w:val="single" w:sz="2" w:space="0" w:color="CCCCCC"/>
              <w:bottom w:val="single" w:sz="2" w:space="0" w:color="CCCCCC"/>
              <w:right w:val="single" w:sz="2" w:space="0" w:color="CCCCCC"/>
            </w:tcBorders>
            <w:shd w:val="clear" w:color="000000" w:fill="FFFFFF"/>
          </w:tcPr>
          <w:p w:rsidR="004854B0" w:rsidRDefault="004F2EFD" w:rsidP="004F2EFD">
            <w:pPr>
              <w:autoSpaceDE w:val="0"/>
              <w:autoSpaceDN w:val="0"/>
              <w:adjustRightInd w:val="0"/>
              <w:spacing w:after="0" w:line="240" w:lineRule="auto"/>
              <w:jc w:val="center"/>
              <w:rPr>
                <w:rFonts w:ascii="Calibri" w:hAnsi="Calibri" w:cs="Calibri"/>
              </w:rPr>
            </w:pPr>
            <w:r>
              <w:rPr>
                <w:rFonts w:ascii="Calibri" w:hAnsi="Calibri" w:cs="Calibri"/>
              </w:rPr>
              <w:t>31</w:t>
            </w:r>
          </w:p>
        </w:tc>
      </w:tr>
    </w:tbl>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Dipendenti in servizio</w:t>
      </w: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Coerenza e compatibilità con Pareggio di Bilancio (LS 2016)</w:t>
      </w:r>
    </w:p>
    <w:p w:rsidR="004854B0" w:rsidRDefault="006625E6"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Di seguito</w:t>
      </w:r>
      <w:r w:rsidR="004854B0">
        <w:rPr>
          <w:rFonts w:ascii="Trebuchet MS" w:hAnsi="Trebuchet MS" w:cs="Trebuchet MS"/>
          <w:sz w:val="21"/>
          <w:szCs w:val="21"/>
        </w:rPr>
        <w:t xml:space="preserve"> il prospetto di verifica del rispetto del vincoli di finanza pubblica, che sostituisce il precedente modello di verifica del patto di stabilità interno. Il predetto prospetto è stato, a norma di legge, allegat</w:t>
      </w:r>
      <w:r w:rsidR="0022076B">
        <w:rPr>
          <w:rFonts w:ascii="Trebuchet MS" w:hAnsi="Trebuchet MS" w:cs="Trebuchet MS"/>
          <w:sz w:val="21"/>
          <w:szCs w:val="21"/>
        </w:rPr>
        <w:t>o al bilancio di previsione 2018/2020</w:t>
      </w:r>
      <w:r w:rsidR="004854B0">
        <w:rPr>
          <w:rFonts w:ascii="Trebuchet MS" w:hAnsi="Trebuchet MS" w:cs="Trebuchet MS"/>
          <w:sz w:val="21"/>
          <w:szCs w:val="21"/>
        </w:rPr>
        <w:t xml:space="preserve"> e dimostra, sulla base delle previsioni fatte, il rispetto per il medesimo triennio.</w:t>
      </w:r>
    </w:p>
    <w:p w:rsidR="004854B0" w:rsidRDefault="004854B0" w:rsidP="004854B0">
      <w:pPr>
        <w:autoSpaceDE w:val="0"/>
        <w:autoSpaceDN w:val="0"/>
        <w:adjustRightInd w:val="0"/>
        <w:spacing w:after="0" w:line="360" w:lineRule="auto"/>
        <w:ind w:firstLine="539"/>
        <w:jc w:val="both"/>
        <w:rPr>
          <w:rFonts w:ascii="Calibri" w:hAnsi="Calibri" w:cs="Calibri"/>
        </w:rPr>
      </w:pPr>
    </w:p>
    <w:tbl>
      <w:tblPr>
        <w:tblW w:w="5000" w:type="pct"/>
        <w:tblCellMar>
          <w:left w:w="70" w:type="dxa"/>
          <w:right w:w="70" w:type="dxa"/>
        </w:tblCellMar>
        <w:tblLook w:val="04A0"/>
      </w:tblPr>
      <w:tblGrid>
        <w:gridCol w:w="6539"/>
        <w:gridCol w:w="512"/>
        <w:gridCol w:w="1021"/>
        <w:gridCol w:w="1021"/>
        <w:gridCol w:w="1019"/>
      </w:tblGrid>
      <w:tr w:rsidR="002D7357" w:rsidRPr="002D7357" w:rsidTr="002D7357">
        <w:trPr>
          <w:trHeight w:val="405"/>
        </w:trPr>
        <w:tc>
          <w:tcPr>
            <w:tcW w:w="5000" w:type="pct"/>
            <w:gridSpan w:val="5"/>
            <w:tcBorders>
              <w:top w:val="nil"/>
              <w:left w:val="nil"/>
              <w:bottom w:val="nil"/>
              <w:right w:val="nil"/>
            </w:tcBorders>
            <w:shd w:val="clear" w:color="auto" w:fill="auto"/>
            <w:vAlign w:val="bottom"/>
            <w:hideMark/>
          </w:tcPr>
          <w:p w:rsidR="002D7357" w:rsidRPr="002D7357" w:rsidRDefault="002D7357" w:rsidP="002D7357">
            <w:pPr>
              <w:spacing w:after="0" w:line="240" w:lineRule="auto"/>
              <w:jc w:val="center"/>
              <w:rPr>
                <w:rFonts w:ascii="Arial" w:eastAsia="Times New Roman" w:hAnsi="Arial" w:cs="Arial"/>
                <w:b/>
                <w:bCs/>
                <w:color w:val="000000"/>
                <w:sz w:val="32"/>
                <w:szCs w:val="32"/>
              </w:rPr>
            </w:pPr>
            <w:r w:rsidRPr="002D7357">
              <w:rPr>
                <w:rFonts w:ascii="Arial" w:eastAsia="Times New Roman" w:hAnsi="Arial" w:cs="Arial"/>
                <w:b/>
                <w:bCs/>
                <w:color w:val="000000"/>
                <w:sz w:val="32"/>
                <w:szCs w:val="32"/>
              </w:rPr>
              <w:t xml:space="preserve">BILANCIO </w:t>
            </w:r>
            <w:proofErr w:type="spellStart"/>
            <w:r w:rsidRPr="002D7357">
              <w:rPr>
                <w:rFonts w:ascii="Arial" w:eastAsia="Times New Roman" w:hAnsi="Arial" w:cs="Arial"/>
                <w:b/>
                <w:bCs/>
                <w:color w:val="000000"/>
                <w:sz w:val="32"/>
                <w:szCs w:val="32"/>
              </w:rPr>
              <w:t>DI</w:t>
            </w:r>
            <w:proofErr w:type="spellEnd"/>
            <w:r w:rsidRPr="002D7357">
              <w:rPr>
                <w:rFonts w:ascii="Arial" w:eastAsia="Times New Roman" w:hAnsi="Arial" w:cs="Arial"/>
                <w:b/>
                <w:bCs/>
                <w:color w:val="000000"/>
                <w:sz w:val="32"/>
                <w:szCs w:val="32"/>
              </w:rPr>
              <w:t xml:space="preserve"> PREVISIONE</w:t>
            </w:r>
          </w:p>
        </w:tc>
      </w:tr>
      <w:tr w:rsidR="002D7357" w:rsidRPr="002D7357" w:rsidTr="002D7357">
        <w:trPr>
          <w:trHeight w:val="405"/>
        </w:trPr>
        <w:tc>
          <w:tcPr>
            <w:tcW w:w="5000" w:type="pct"/>
            <w:gridSpan w:val="5"/>
            <w:tcBorders>
              <w:top w:val="nil"/>
              <w:left w:val="nil"/>
              <w:bottom w:val="nil"/>
              <w:right w:val="nil"/>
            </w:tcBorders>
            <w:shd w:val="clear" w:color="auto" w:fill="auto"/>
            <w:vAlign w:val="bottom"/>
            <w:hideMark/>
          </w:tcPr>
          <w:p w:rsidR="002D7357" w:rsidRPr="002D7357" w:rsidRDefault="002D7357" w:rsidP="002D7357">
            <w:pPr>
              <w:spacing w:after="0" w:line="240" w:lineRule="auto"/>
              <w:jc w:val="center"/>
              <w:rPr>
                <w:rFonts w:ascii="Arial" w:eastAsia="Times New Roman" w:hAnsi="Arial" w:cs="Arial"/>
                <w:b/>
                <w:bCs/>
                <w:color w:val="000000"/>
                <w:sz w:val="32"/>
                <w:szCs w:val="32"/>
              </w:rPr>
            </w:pPr>
            <w:r w:rsidRPr="002D7357">
              <w:rPr>
                <w:rFonts w:ascii="Arial" w:eastAsia="Times New Roman" w:hAnsi="Arial" w:cs="Arial"/>
                <w:b/>
                <w:bCs/>
                <w:color w:val="000000"/>
                <w:sz w:val="32"/>
                <w:szCs w:val="32"/>
              </w:rPr>
              <w:t xml:space="preserve">PROSPETTO VERIFICA RISPETTO DEI VINCOLI </w:t>
            </w:r>
            <w:proofErr w:type="spellStart"/>
            <w:r w:rsidRPr="002D7357">
              <w:rPr>
                <w:rFonts w:ascii="Arial" w:eastAsia="Times New Roman" w:hAnsi="Arial" w:cs="Arial"/>
                <w:b/>
                <w:bCs/>
                <w:color w:val="000000"/>
                <w:sz w:val="32"/>
                <w:szCs w:val="32"/>
              </w:rPr>
              <w:t>DI</w:t>
            </w:r>
            <w:proofErr w:type="spellEnd"/>
            <w:r w:rsidRPr="002D7357">
              <w:rPr>
                <w:rFonts w:ascii="Arial" w:eastAsia="Times New Roman" w:hAnsi="Arial" w:cs="Arial"/>
                <w:b/>
                <w:bCs/>
                <w:color w:val="000000"/>
                <w:sz w:val="32"/>
                <w:szCs w:val="32"/>
              </w:rPr>
              <w:t xml:space="preserve"> FINANZA PUBBLICA (*)</w:t>
            </w:r>
            <w:r w:rsidRPr="002D7357">
              <w:rPr>
                <w:rFonts w:ascii="Arial" w:eastAsia="Times New Roman" w:hAnsi="Arial" w:cs="Arial"/>
                <w:b/>
                <w:bCs/>
                <w:color w:val="000000"/>
                <w:sz w:val="32"/>
                <w:szCs w:val="32"/>
              </w:rPr>
              <w:br/>
              <w:t>(da allegare al bilancio di previsione e alle variazioni di bilancio - art. 1, comma 712 Legge di stabilità 2016)</w:t>
            </w:r>
          </w:p>
        </w:tc>
      </w:tr>
      <w:tr w:rsidR="002D7357" w:rsidRPr="002D7357" w:rsidTr="00410A28">
        <w:trPr>
          <w:trHeight w:val="300"/>
        </w:trPr>
        <w:tc>
          <w:tcPr>
            <w:tcW w:w="3233" w:type="pct"/>
            <w:tcBorders>
              <w:top w:val="nil"/>
              <w:left w:val="nil"/>
              <w:bottom w:val="nil"/>
              <w:right w:val="nil"/>
            </w:tcBorders>
            <w:shd w:val="clear" w:color="auto" w:fill="auto"/>
            <w:noWrap/>
            <w:vAlign w:val="bottom"/>
            <w:hideMark/>
          </w:tcPr>
          <w:p w:rsidR="002D7357" w:rsidRPr="002D7357" w:rsidRDefault="002D7357" w:rsidP="002D7357">
            <w:pPr>
              <w:spacing w:after="0" w:line="240" w:lineRule="auto"/>
              <w:rPr>
                <w:rFonts w:ascii="Arial" w:eastAsia="Times New Roman" w:hAnsi="Arial" w:cs="Arial"/>
                <w:color w:val="000000"/>
              </w:rPr>
            </w:pPr>
          </w:p>
        </w:tc>
        <w:tc>
          <w:tcPr>
            <w:tcW w:w="253" w:type="pct"/>
            <w:tcBorders>
              <w:top w:val="nil"/>
              <w:left w:val="nil"/>
              <w:bottom w:val="nil"/>
              <w:right w:val="nil"/>
            </w:tcBorders>
            <w:shd w:val="clear" w:color="auto" w:fill="auto"/>
            <w:noWrap/>
            <w:vAlign w:val="center"/>
            <w:hideMark/>
          </w:tcPr>
          <w:p w:rsidR="002D7357" w:rsidRPr="002D7357" w:rsidRDefault="002D7357" w:rsidP="002D7357">
            <w:pPr>
              <w:spacing w:after="0" w:line="240" w:lineRule="auto"/>
              <w:jc w:val="center"/>
              <w:rPr>
                <w:rFonts w:ascii="Arial" w:eastAsia="Times New Roman" w:hAnsi="Arial" w:cs="Arial"/>
                <w:color w:val="000000"/>
              </w:rPr>
            </w:pPr>
          </w:p>
        </w:tc>
        <w:tc>
          <w:tcPr>
            <w:tcW w:w="505" w:type="pct"/>
            <w:tcBorders>
              <w:top w:val="nil"/>
              <w:left w:val="nil"/>
              <w:bottom w:val="nil"/>
              <w:right w:val="nil"/>
            </w:tcBorders>
            <w:shd w:val="clear" w:color="auto" w:fill="auto"/>
            <w:noWrap/>
            <w:vAlign w:val="bottom"/>
            <w:hideMark/>
          </w:tcPr>
          <w:p w:rsidR="002D7357" w:rsidRPr="002D7357" w:rsidRDefault="002D7357" w:rsidP="002D7357">
            <w:pPr>
              <w:spacing w:after="0" w:line="240" w:lineRule="auto"/>
              <w:rPr>
                <w:rFonts w:ascii="Arial" w:eastAsia="Times New Roman" w:hAnsi="Arial" w:cs="Arial"/>
                <w:color w:val="000000"/>
              </w:rPr>
            </w:pPr>
          </w:p>
        </w:tc>
        <w:tc>
          <w:tcPr>
            <w:tcW w:w="505" w:type="pct"/>
            <w:tcBorders>
              <w:top w:val="nil"/>
              <w:left w:val="nil"/>
              <w:bottom w:val="nil"/>
              <w:right w:val="nil"/>
            </w:tcBorders>
            <w:shd w:val="clear" w:color="auto" w:fill="auto"/>
            <w:noWrap/>
            <w:vAlign w:val="bottom"/>
            <w:hideMark/>
          </w:tcPr>
          <w:p w:rsidR="002D7357" w:rsidRPr="002D7357" w:rsidRDefault="002D7357" w:rsidP="002D7357">
            <w:pPr>
              <w:spacing w:after="0" w:line="240" w:lineRule="auto"/>
              <w:rPr>
                <w:rFonts w:ascii="Arial" w:eastAsia="Times New Roman" w:hAnsi="Arial" w:cs="Arial"/>
                <w:color w:val="000000"/>
              </w:rPr>
            </w:pPr>
          </w:p>
        </w:tc>
        <w:tc>
          <w:tcPr>
            <w:tcW w:w="504" w:type="pct"/>
            <w:tcBorders>
              <w:top w:val="nil"/>
              <w:left w:val="nil"/>
              <w:bottom w:val="nil"/>
              <w:right w:val="nil"/>
            </w:tcBorders>
            <w:shd w:val="clear" w:color="auto" w:fill="auto"/>
            <w:noWrap/>
            <w:vAlign w:val="bottom"/>
            <w:hideMark/>
          </w:tcPr>
          <w:p w:rsidR="002D7357" w:rsidRPr="002D7357" w:rsidRDefault="002D7357" w:rsidP="002D7357">
            <w:pPr>
              <w:spacing w:after="0" w:line="240" w:lineRule="auto"/>
              <w:rPr>
                <w:rFonts w:ascii="Arial" w:eastAsia="Times New Roman" w:hAnsi="Arial" w:cs="Arial"/>
                <w:color w:val="000000"/>
              </w:rPr>
            </w:pPr>
          </w:p>
        </w:tc>
      </w:tr>
    </w:tbl>
    <w:p w:rsidR="004854B0" w:rsidRDefault="009002D6" w:rsidP="004854B0">
      <w:pPr>
        <w:autoSpaceDE w:val="0"/>
        <w:autoSpaceDN w:val="0"/>
        <w:adjustRightInd w:val="0"/>
        <w:spacing w:after="0" w:line="360" w:lineRule="auto"/>
        <w:ind w:firstLine="539"/>
        <w:jc w:val="both"/>
        <w:rPr>
          <w:rFonts w:ascii="Calibri" w:hAnsi="Calibri" w:cs="Calibri"/>
        </w:rPr>
      </w:pPr>
      <w:r>
        <w:rPr>
          <w:rFonts w:ascii="Calibri" w:hAnsi="Calibri" w:cs="Calibri"/>
          <w:noProof/>
        </w:rPr>
        <w:lastRenderedPageBreak/>
        <w:drawing>
          <wp:inline distT="0" distB="0" distL="0" distR="0">
            <wp:extent cx="6332220" cy="8930775"/>
            <wp:effectExtent l="19050" t="0" r="0" b="0"/>
            <wp:docPr id="20"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srcRect/>
                    <a:stretch>
                      <a:fillRect/>
                    </a:stretch>
                  </pic:blipFill>
                  <pic:spPr bwMode="auto">
                    <a:xfrm>
                      <a:off x="0" y="0"/>
                      <a:ext cx="6332220" cy="8930775"/>
                    </a:xfrm>
                    <a:prstGeom prst="rect">
                      <a:avLst/>
                    </a:prstGeom>
                    <a:noFill/>
                    <a:ln w="9525">
                      <a:noFill/>
                      <a:miter lim="800000"/>
                      <a:headEnd/>
                      <a:tailEnd/>
                    </a:ln>
                  </pic:spPr>
                </pic:pic>
              </a:graphicData>
            </a:graphic>
          </wp:inline>
        </w:drawing>
      </w:r>
    </w:p>
    <w:p w:rsidR="004854B0" w:rsidRDefault="009002D6" w:rsidP="004854B0">
      <w:pPr>
        <w:autoSpaceDE w:val="0"/>
        <w:autoSpaceDN w:val="0"/>
        <w:adjustRightInd w:val="0"/>
        <w:spacing w:after="0" w:line="360" w:lineRule="auto"/>
        <w:ind w:firstLine="539"/>
        <w:rPr>
          <w:rFonts w:ascii="Calibri" w:hAnsi="Calibri" w:cs="Calibri"/>
        </w:rPr>
      </w:pPr>
      <w:r>
        <w:rPr>
          <w:rFonts w:ascii="Calibri" w:hAnsi="Calibri" w:cs="Calibri"/>
          <w:noProof/>
        </w:rPr>
        <w:lastRenderedPageBreak/>
        <w:drawing>
          <wp:inline distT="0" distB="0" distL="0" distR="0">
            <wp:extent cx="6332220" cy="8930775"/>
            <wp:effectExtent l="19050" t="0" r="0" b="0"/>
            <wp:docPr id="21"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srcRect/>
                    <a:stretch>
                      <a:fillRect/>
                    </a:stretch>
                  </pic:blipFill>
                  <pic:spPr bwMode="auto">
                    <a:xfrm>
                      <a:off x="0" y="0"/>
                      <a:ext cx="6332220" cy="8930775"/>
                    </a:xfrm>
                    <a:prstGeom prst="rect">
                      <a:avLst/>
                    </a:prstGeom>
                    <a:noFill/>
                    <a:ln w="9525">
                      <a:noFill/>
                      <a:miter lim="800000"/>
                      <a:headEnd/>
                      <a:tailEnd/>
                    </a:ln>
                  </pic:spPr>
                </pic:pic>
              </a:graphicData>
            </a:graphic>
          </wp:inline>
        </w:drawing>
      </w:r>
    </w:p>
    <w:p w:rsidR="002D7357" w:rsidRDefault="002D7357" w:rsidP="004854B0">
      <w:pPr>
        <w:autoSpaceDE w:val="0"/>
        <w:autoSpaceDN w:val="0"/>
        <w:adjustRightInd w:val="0"/>
        <w:spacing w:after="0" w:line="360" w:lineRule="auto"/>
        <w:ind w:firstLine="539"/>
        <w:rPr>
          <w:rFonts w:ascii="Calibri" w:hAnsi="Calibri" w:cs="Calibri"/>
        </w:rPr>
      </w:pPr>
    </w:p>
    <w:p w:rsidR="002D7357" w:rsidRDefault="002D7357" w:rsidP="004854B0">
      <w:pPr>
        <w:autoSpaceDE w:val="0"/>
        <w:autoSpaceDN w:val="0"/>
        <w:adjustRightInd w:val="0"/>
        <w:spacing w:after="0" w:line="360" w:lineRule="auto"/>
        <w:ind w:firstLine="539"/>
        <w:rPr>
          <w:rFonts w:ascii="Calibri" w:hAnsi="Calibri" w:cs="Calibri"/>
        </w:rPr>
      </w:pPr>
    </w:p>
    <w:p w:rsidR="002D7357" w:rsidRDefault="002D7357"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Organismi ed enti strumentali, società controllate e partecipate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Nel presente paragrafo sono esaminate le risultanze dei bilanci dell'ultimo esercizio chiuso degli enti strumentali, delle società controllate e partecipate ai quali l'Ente ha affidato la gestione di alcuni servizi pubblici. </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Si presenta un prospetto che evidenzia la quota di partecipazione sia in percentuale che in valore, il tipo di partecipazione e di controllo, la chiusura degli ultimi tre esercizi.</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 dati e le informazioni contenute nel presente paragrafo sono tratti dall'analisi dei risultati degli organismi partecipati redatti nell’ambito del sistema dei controlli interni del Comune.</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Nella pagina seguente è riportato il quadro delle società controllate, collegate e partecipate.</w:t>
      </w:r>
    </w:p>
    <w:p w:rsidR="004854B0" w:rsidRDefault="004854B0" w:rsidP="004854B0">
      <w:pPr>
        <w:autoSpaceDE w:val="0"/>
        <w:autoSpaceDN w:val="0"/>
        <w:adjustRightInd w:val="0"/>
        <w:spacing w:after="0" w:line="360" w:lineRule="auto"/>
        <w:ind w:firstLine="539"/>
        <w:rPr>
          <w:rFonts w:ascii="Calibri" w:hAnsi="Calibri" w:cs="Calibri"/>
        </w:rPr>
      </w:pPr>
    </w:p>
    <w:tbl>
      <w:tblPr>
        <w:tblW w:w="0" w:type="auto"/>
        <w:tblInd w:w="55" w:type="dxa"/>
        <w:tblLayout w:type="fixed"/>
        <w:tblCellMar>
          <w:left w:w="55" w:type="dxa"/>
          <w:right w:w="55" w:type="dxa"/>
        </w:tblCellMar>
        <w:tblLook w:val="0000"/>
      </w:tblPr>
      <w:tblGrid>
        <w:gridCol w:w="963"/>
        <w:gridCol w:w="1904"/>
        <w:gridCol w:w="964"/>
        <w:gridCol w:w="963"/>
        <w:gridCol w:w="964"/>
        <w:gridCol w:w="964"/>
        <w:gridCol w:w="964"/>
        <w:gridCol w:w="963"/>
        <w:gridCol w:w="964"/>
        <w:gridCol w:w="966"/>
      </w:tblGrid>
      <w:tr w:rsidR="004854B0">
        <w:trPr>
          <w:trHeight w:val="1"/>
        </w:trPr>
        <w:tc>
          <w:tcPr>
            <w:tcW w:w="963" w:type="dxa"/>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p>
        </w:tc>
        <w:tc>
          <w:tcPr>
            <w:tcW w:w="1904" w:type="dxa"/>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Denominazione sociale</w:t>
            </w:r>
          </w:p>
        </w:tc>
        <w:tc>
          <w:tcPr>
            <w:tcW w:w="964" w:type="dxa"/>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Capitale sociale</w:t>
            </w:r>
          </w:p>
        </w:tc>
        <w:tc>
          <w:tcPr>
            <w:tcW w:w="963" w:type="dxa"/>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w:t>
            </w:r>
          </w:p>
        </w:tc>
        <w:tc>
          <w:tcPr>
            <w:tcW w:w="964" w:type="dxa"/>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p>
        </w:tc>
        <w:tc>
          <w:tcPr>
            <w:tcW w:w="964" w:type="dxa"/>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p>
        </w:tc>
        <w:tc>
          <w:tcPr>
            <w:tcW w:w="964" w:type="dxa"/>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p>
        </w:tc>
        <w:tc>
          <w:tcPr>
            <w:tcW w:w="963" w:type="dxa"/>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p>
        </w:tc>
        <w:tc>
          <w:tcPr>
            <w:tcW w:w="964" w:type="dxa"/>
            <w:tcBorders>
              <w:top w:val="single" w:sz="2" w:space="0" w:color="CCCCCC"/>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p>
        </w:tc>
        <w:tc>
          <w:tcPr>
            <w:tcW w:w="966" w:type="dxa"/>
            <w:tcBorders>
              <w:top w:val="single" w:sz="2" w:space="0" w:color="CCCCCC"/>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jc w:val="center"/>
              <w:rPr>
                <w:rFonts w:ascii="Calibri" w:hAnsi="Calibri" w:cs="Calibri"/>
              </w:rPr>
            </w:pPr>
          </w:p>
        </w:tc>
      </w:tr>
      <w:tr w:rsidR="004854B0">
        <w:trPr>
          <w:trHeight w:val="6"/>
        </w:trPr>
        <w:tc>
          <w:tcPr>
            <w:tcW w:w="963"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190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C1</w:t>
            </w:r>
          </w:p>
        </w:tc>
        <w:tc>
          <w:tcPr>
            <w:tcW w:w="96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C2</w:t>
            </w:r>
          </w:p>
        </w:tc>
        <w:tc>
          <w:tcPr>
            <w:tcW w:w="963"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C3</w:t>
            </w:r>
          </w:p>
        </w:tc>
        <w:tc>
          <w:tcPr>
            <w:tcW w:w="96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C4</w:t>
            </w:r>
          </w:p>
        </w:tc>
        <w:tc>
          <w:tcPr>
            <w:tcW w:w="96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C5</w:t>
            </w:r>
          </w:p>
        </w:tc>
        <w:tc>
          <w:tcPr>
            <w:tcW w:w="96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C6</w:t>
            </w:r>
          </w:p>
        </w:tc>
        <w:tc>
          <w:tcPr>
            <w:tcW w:w="963"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C7</w:t>
            </w:r>
          </w:p>
        </w:tc>
        <w:tc>
          <w:tcPr>
            <w:tcW w:w="96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C8</w:t>
            </w:r>
          </w:p>
        </w:tc>
        <w:tc>
          <w:tcPr>
            <w:tcW w:w="966" w:type="dxa"/>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C9</w:t>
            </w:r>
          </w:p>
        </w:tc>
      </w:tr>
      <w:tr w:rsidR="004854B0">
        <w:trPr>
          <w:trHeight w:val="1"/>
        </w:trPr>
        <w:tc>
          <w:tcPr>
            <w:tcW w:w="963"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R1</w:t>
            </w:r>
          </w:p>
        </w:tc>
        <w:tc>
          <w:tcPr>
            <w:tcW w:w="190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CONSORZIO VALLECRATI</w:t>
            </w:r>
          </w:p>
        </w:tc>
        <w:tc>
          <w:tcPr>
            <w:tcW w:w="96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3"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r>
              <w:rPr>
                <w:rFonts w:ascii="Trebuchet MS" w:hAnsi="Trebuchet MS" w:cs="Trebuchet MS"/>
                <w:sz w:val="16"/>
                <w:szCs w:val="16"/>
              </w:rPr>
              <w:t>2,2</w:t>
            </w:r>
          </w:p>
        </w:tc>
        <w:tc>
          <w:tcPr>
            <w:tcW w:w="96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3"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4" w:type="dxa"/>
            <w:tcBorders>
              <w:top w:val="single" w:sz="2" w:space="0" w:color="000000"/>
              <w:left w:val="single" w:sz="2" w:space="0" w:color="CCCCCC"/>
              <w:bottom w:val="single" w:sz="2" w:space="0" w:color="CCCCCC"/>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6" w:type="dxa"/>
            <w:tcBorders>
              <w:top w:val="single" w:sz="2" w:space="0" w:color="000000"/>
              <w:left w:val="single" w:sz="2" w:space="0" w:color="CCCCCC"/>
              <w:bottom w:val="single" w:sz="2" w:space="0" w:color="CCCCCC"/>
              <w:right w:val="single" w:sz="2" w:space="0" w:color="CCCCCC"/>
            </w:tcBorders>
            <w:shd w:val="clear" w:color="000000" w:fill="FFFFFF"/>
          </w:tcPr>
          <w:p w:rsidR="004854B0" w:rsidRDefault="004854B0">
            <w:pPr>
              <w:autoSpaceDE w:val="0"/>
              <w:autoSpaceDN w:val="0"/>
              <w:adjustRightInd w:val="0"/>
              <w:spacing w:after="0" w:line="240" w:lineRule="auto"/>
              <w:rPr>
                <w:rFonts w:ascii="Calibri" w:hAnsi="Calibri" w:cs="Calibri"/>
              </w:rPr>
            </w:pPr>
          </w:p>
        </w:tc>
      </w:tr>
      <w:tr w:rsidR="004854B0">
        <w:trPr>
          <w:trHeight w:val="1"/>
        </w:trPr>
        <w:tc>
          <w:tcPr>
            <w:tcW w:w="963" w:type="dxa"/>
            <w:tcBorders>
              <w:top w:val="single" w:sz="2" w:space="0" w:color="000000"/>
              <w:left w:val="single" w:sz="2" w:space="0" w:color="CCCCCC"/>
              <w:bottom w:val="single" w:sz="2" w:space="0" w:color="E6E6E6"/>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1904" w:type="dxa"/>
            <w:tcBorders>
              <w:top w:val="single" w:sz="2" w:space="0" w:color="000000"/>
              <w:left w:val="single" w:sz="2" w:space="0" w:color="CCCCCC"/>
              <w:bottom w:val="single" w:sz="2" w:space="0" w:color="E6E6E6"/>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4" w:type="dxa"/>
            <w:tcBorders>
              <w:top w:val="single" w:sz="2" w:space="0" w:color="000000"/>
              <w:left w:val="single" w:sz="2" w:space="0" w:color="CCCCCC"/>
              <w:bottom w:val="single" w:sz="2" w:space="0" w:color="E6E6E6"/>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3" w:type="dxa"/>
            <w:tcBorders>
              <w:top w:val="single" w:sz="2" w:space="0" w:color="000000"/>
              <w:left w:val="single" w:sz="2" w:space="0" w:color="CCCCCC"/>
              <w:bottom w:val="single" w:sz="2" w:space="0" w:color="E6E6E6"/>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4" w:type="dxa"/>
            <w:tcBorders>
              <w:top w:val="single" w:sz="2" w:space="0" w:color="000000"/>
              <w:left w:val="single" w:sz="2" w:space="0" w:color="CCCCCC"/>
              <w:bottom w:val="single" w:sz="2" w:space="0" w:color="E6E6E6"/>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4" w:type="dxa"/>
            <w:tcBorders>
              <w:top w:val="single" w:sz="2" w:space="0" w:color="000000"/>
              <w:left w:val="single" w:sz="2" w:space="0" w:color="CCCCCC"/>
              <w:bottom w:val="single" w:sz="2" w:space="0" w:color="E6E6E6"/>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4" w:type="dxa"/>
            <w:tcBorders>
              <w:top w:val="single" w:sz="2" w:space="0" w:color="000000"/>
              <w:left w:val="single" w:sz="2" w:space="0" w:color="CCCCCC"/>
              <w:bottom w:val="single" w:sz="2" w:space="0" w:color="E6E6E6"/>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3" w:type="dxa"/>
            <w:tcBorders>
              <w:top w:val="single" w:sz="2" w:space="0" w:color="000000"/>
              <w:left w:val="single" w:sz="2" w:space="0" w:color="CCCCCC"/>
              <w:bottom w:val="single" w:sz="2" w:space="0" w:color="E6E6E6"/>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4" w:type="dxa"/>
            <w:tcBorders>
              <w:top w:val="single" w:sz="2" w:space="0" w:color="000000"/>
              <w:left w:val="single" w:sz="2" w:space="0" w:color="CCCCCC"/>
              <w:bottom w:val="single" w:sz="2" w:space="0" w:color="E6E6E6"/>
              <w:right w:val="single" w:sz="2" w:space="0" w:color="000000"/>
            </w:tcBorders>
            <w:shd w:val="clear" w:color="000000" w:fill="FFFFFF"/>
          </w:tcPr>
          <w:p w:rsidR="004854B0" w:rsidRDefault="004854B0">
            <w:pPr>
              <w:autoSpaceDE w:val="0"/>
              <w:autoSpaceDN w:val="0"/>
              <w:adjustRightInd w:val="0"/>
              <w:spacing w:after="0" w:line="240" w:lineRule="auto"/>
              <w:rPr>
                <w:rFonts w:ascii="Calibri" w:hAnsi="Calibri" w:cs="Calibri"/>
              </w:rPr>
            </w:pPr>
          </w:p>
        </w:tc>
        <w:tc>
          <w:tcPr>
            <w:tcW w:w="966" w:type="dxa"/>
            <w:tcBorders>
              <w:top w:val="single" w:sz="2" w:space="0" w:color="000000"/>
              <w:left w:val="single" w:sz="2" w:space="0" w:color="CCCCCC"/>
              <w:bottom w:val="single" w:sz="2" w:space="0" w:color="E6E6E6"/>
              <w:right w:val="single" w:sz="2" w:space="0" w:color="CCCCCC"/>
            </w:tcBorders>
            <w:shd w:val="clear" w:color="000000" w:fill="FFFFFF"/>
          </w:tcPr>
          <w:p w:rsidR="004854B0" w:rsidRDefault="004854B0">
            <w:pPr>
              <w:autoSpaceDE w:val="0"/>
              <w:autoSpaceDN w:val="0"/>
              <w:adjustRightInd w:val="0"/>
              <w:spacing w:after="0" w:line="240" w:lineRule="auto"/>
              <w:rPr>
                <w:rFonts w:ascii="Calibri" w:hAnsi="Calibri" w:cs="Calibri"/>
              </w:rPr>
            </w:pPr>
          </w:p>
        </w:tc>
      </w:tr>
    </w:tbl>
    <w:p w:rsidR="004854B0" w:rsidRDefault="004854B0" w:rsidP="004854B0">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Organismi ed entri strumentali, società controllate e partecipate</w:t>
      </w:r>
    </w:p>
    <w:p w:rsidR="004854B0" w:rsidRDefault="004854B0" w:rsidP="004854B0">
      <w:pPr>
        <w:autoSpaceDE w:val="0"/>
        <w:autoSpaceDN w:val="0"/>
        <w:adjustRightInd w:val="0"/>
        <w:spacing w:after="0" w:line="360" w:lineRule="auto"/>
        <w:ind w:firstLine="539"/>
        <w:rPr>
          <w:rFonts w:ascii="Trebuchet MS" w:hAnsi="Trebuchet MS" w:cs="Trebuchet MS"/>
          <w:sz w:val="21"/>
          <w:szCs w:val="21"/>
        </w:rPr>
      </w:pPr>
      <w:r>
        <w:rPr>
          <w:rFonts w:ascii="Trebuchet MS" w:hAnsi="Trebuchet MS" w:cs="Trebuchet MS"/>
          <w:sz w:val="21"/>
          <w:szCs w:val="21"/>
        </w:rPr>
        <w:t xml:space="preserve">Il Consorzio Valle </w:t>
      </w:r>
      <w:proofErr w:type="spellStart"/>
      <w:r>
        <w:rPr>
          <w:rFonts w:ascii="Trebuchet MS" w:hAnsi="Trebuchet MS" w:cs="Trebuchet MS"/>
          <w:sz w:val="21"/>
          <w:szCs w:val="21"/>
        </w:rPr>
        <w:t>Crati</w:t>
      </w:r>
      <w:proofErr w:type="spellEnd"/>
      <w:r>
        <w:rPr>
          <w:rFonts w:ascii="Trebuchet MS" w:hAnsi="Trebuchet MS" w:cs="Trebuchet MS"/>
          <w:sz w:val="21"/>
          <w:szCs w:val="21"/>
        </w:rPr>
        <w:t xml:space="preserve"> è un consorzio tra comuni e la quota associativa per il Comune di S. Pietro in </w:t>
      </w:r>
      <w:proofErr w:type="spellStart"/>
      <w:r>
        <w:rPr>
          <w:rFonts w:ascii="Trebuchet MS" w:hAnsi="Trebuchet MS" w:cs="Trebuchet MS"/>
          <w:sz w:val="21"/>
          <w:szCs w:val="21"/>
        </w:rPr>
        <w:t>Guarano</w:t>
      </w:r>
      <w:proofErr w:type="spellEnd"/>
      <w:r>
        <w:rPr>
          <w:rFonts w:ascii="Trebuchet MS" w:hAnsi="Trebuchet MS" w:cs="Trebuchet MS"/>
          <w:sz w:val="21"/>
          <w:szCs w:val="21"/>
        </w:rPr>
        <w:t xml:space="preserve"> è pari ad € 3.000,00.</w:t>
      </w: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after="0" w:line="360" w:lineRule="auto"/>
        <w:ind w:firstLine="539"/>
        <w:rPr>
          <w:rFonts w:ascii="Calibri" w:hAnsi="Calibri" w:cs="Calibri"/>
        </w:rPr>
      </w:pPr>
    </w:p>
    <w:p w:rsidR="004854B0" w:rsidRDefault="004854B0" w:rsidP="004854B0">
      <w:pPr>
        <w:autoSpaceDE w:val="0"/>
        <w:autoSpaceDN w:val="0"/>
        <w:adjustRightInd w:val="0"/>
        <w:spacing w:after="0" w:line="360" w:lineRule="auto"/>
        <w:ind w:firstLine="539"/>
        <w:jc w:val="both"/>
        <w:rPr>
          <w:rFonts w:ascii="Trebuchet MS" w:hAnsi="Trebuchet MS" w:cs="Trebuchet MS"/>
          <w:b/>
          <w:bCs/>
          <w:sz w:val="32"/>
          <w:szCs w:val="32"/>
        </w:rPr>
      </w:pPr>
      <w:r>
        <w:rPr>
          <w:rFonts w:ascii="Trebuchet MS" w:hAnsi="Trebuchet MS" w:cs="Trebuchet MS"/>
          <w:b/>
          <w:bCs/>
          <w:sz w:val="32"/>
          <w:szCs w:val="32"/>
        </w:rPr>
        <w:t>Linee di Mandato</w:t>
      </w:r>
    </w:p>
    <w:p w:rsidR="004854B0" w:rsidRDefault="004854B0" w:rsidP="004854B0">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Di seguito le linee di mandato tracciate dalla Amministrazione Comunale che si traducono, nella seconda parte del presente documento di programmazione, in obiettivi operativi  misurabili.</w:t>
      </w:r>
    </w:p>
    <w:p w:rsidR="004854B0" w:rsidRDefault="004854B0" w:rsidP="004854B0">
      <w:pPr>
        <w:autoSpaceDE w:val="0"/>
        <w:autoSpaceDN w:val="0"/>
        <w:adjustRightInd w:val="0"/>
        <w:spacing w:after="0" w:line="360" w:lineRule="auto"/>
        <w:ind w:firstLine="539"/>
        <w:jc w:val="both"/>
        <w:rPr>
          <w:rFonts w:ascii="Calibri" w:hAnsi="Calibri" w:cs="Calibri"/>
        </w:rPr>
      </w:pPr>
    </w:p>
    <w:p w:rsidR="004854B0" w:rsidRDefault="004854B0" w:rsidP="004854B0">
      <w:pPr>
        <w:autoSpaceDE w:val="0"/>
        <w:autoSpaceDN w:val="0"/>
        <w:adjustRightInd w:val="0"/>
        <w:spacing w:after="120" w:line="360" w:lineRule="auto"/>
        <w:ind w:firstLine="539"/>
        <w:jc w:val="both"/>
        <w:rPr>
          <w:rFonts w:ascii="Trebuchet MS" w:hAnsi="Trebuchet MS" w:cs="Trebuchet MS"/>
          <w:b/>
          <w:bCs/>
          <w:sz w:val="21"/>
          <w:szCs w:val="21"/>
        </w:rPr>
      </w:pPr>
      <w:r>
        <w:rPr>
          <w:rFonts w:ascii="Trebuchet MS" w:hAnsi="Trebuchet MS" w:cs="Trebuchet MS"/>
          <w:b/>
          <w:bCs/>
          <w:sz w:val="21"/>
          <w:szCs w:val="21"/>
        </w:rPr>
        <w:t>Personale - Servizi pubblica amministrazione - Partecipazione</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Garantire il confronto con la cittadinanza attraverso la pubblicazione della carta dei servizi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Riduzione della spesa attraverso una gestione efficiente dei servizi erogati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Organizzazione di assemblee cittadine sulle decisioni rilevanti sotto il profilo economico, sociale, ambientale, culturale e occupazionale</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Garantire la ripresa audio e video dei Consigli Comunali sul web</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lastRenderedPageBreak/>
        <w:t xml:space="preserve">- </w:t>
      </w:r>
      <w:r>
        <w:rPr>
          <w:rFonts w:ascii="Trebuchet MS" w:hAnsi="Trebuchet MS" w:cs="Trebuchet MS"/>
          <w:sz w:val="20"/>
          <w:szCs w:val="20"/>
        </w:rPr>
        <w:t>Garantire la scelta dei contraenti attraverso procedure ad evidenza pubblica, limitando al massimo la trattativa privata (procedura negoziata)</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 xml:space="preserve">Avviare le consulte popolari lasciando la </w:t>
      </w:r>
      <w:proofErr w:type="spellStart"/>
      <w:r>
        <w:rPr>
          <w:rFonts w:ascii="Trebuchet MS" w:hAnsi="Trebuchet MS" w:cs="Trebuchet MS"/>
          <w:sz w:val="20"/>
          <w:szCs w:val="20"/>
        </w:rPr>
        <w:t>possibilita`</w:t>
      </w:r>
      <w:proofErr w:type="spellEnd"/>
      <w:r>
        <w:rPr>
          <w:rFonts w:ascii="Trebuchet MS" w:hAnsi="Trebuchet MS" w:cs="Trebuchet MS"/>
          <w:sz w:val="20"/>
          <w:szCs w:val="20"/>
        </w:rPr>
        <w:t xml:space="preserve"> di coinvolgerli su piccole spese</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Costituzione di commissioni  consultive permanenti e della Commissione Comunale su contributi e sovvenzioni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Approvazione del regolamento sulla concessione e l'uso dei beni comunali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Istituire una casella di posta elettronica comunale per suggerimenti e reclami</w:t>
      </w:r>
    </w:p>
    <w:p w:rsidR="004854B0" w:rsidRDefault="004854B0" w:rsidP="004854B0">
      <w:pPr>
        <w:numPr>
          <w:ilvl w:val="0"/>
          <w:numId w:val="1"/>
        </w:num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0"/>
          <w:szCs w:val="20"/>
        </w:rPr>
        <w:t xml:space="preserve">Pubblicare, annualmente sul sito web dell'ente i dati </w:t>
      </w:r>
      <w:proofErr w:type="spellStart"/>
      <w:r>
        <w:rPr>
          <w:rFonts w:ascii="Trebuchet MS" w:hAnsi="Trebuchet MS" w:cs="Trebuchet MS"/>
          <w:sz w:val="20"/>
          <w:szCs w:val="20"/>
        </w:rPr>
        <w:t>sinteti</w:t>
      </w:r>
      <w:proofErr w:type="spellEnd"/>
      <w:r>
        <w:rPr>
          <w:rFonts w:ascii="Trebuchet MS" w:hAnsi="Trebuchet MS" w:cs="Trebuchet MS"/>
          <w:sz w:val="20"/>
          <w:szCs w:val="20"/>
        </w:rPr>
        <w:t xml:space="preserve"> ci del bilancio comunale</w:t>
      </w:r>
    </w:p>
    <w:p w:rsidR="004854B0" w:rsidRDefault="004854B0" w:rsidP="004854B0">
      <w:pPr>
        <w:autoSpaceDE w:val="0"/>
        <w:autoSpaceDN w:val="0"/>
        <w:adjustRightInd w:val="0"/>
        <w:spacing w:after="120" w:line="360" w:lineRule="auto"/>
        <w:ind w:firstLine="539"/>
        <w:jc w:val="both"/>
        <w:rPr>
          <w:rFonts w:ascii="Calibri" w:hAnsi="Calibri" w:cs="Calibri"/>
        </w:rPr>
      </w:pPr>
    </w:p>
    <w:p w:rsidR="004854B0" w:rsidRDefault="004854B0" w:rsidP="004854B0">
      <w:pPr>
        <w:autoSpaceDE w:val="0"/>
        <w:autoSpaceDN w:val="0"/>
        <w:adjustRightInd w:val="0"/>
        <w:spacing w:after="120" w:line="360" w:lineRule="auto"/>
        <w:ind w:firstLine="539"/>
        <w:jc w:val="both"/>
        <w:rPr>
          <w:rFonts w:ascii="Trebuchet MS" w:hAnsi="Trebuchet MS" w:cs="Trebuchet MS"/>
          <w:b/>
          <w:bCs/>
          <w:sz w:val="20"/>
          <w:szCs w:val="20"/>
        </w:rPr>
      </w:pPr>
      <w:r>
        <w:rPr>
          <w:rFonts w:ascii="Trebuchet MS" w:hAnsi="Trebuchet MS" w:cs="Trebuchet MS"/>
          <w:b/>
          <w:bCs/>
          <w:sz w:val="20"/>
          <w:szCs w:val="20"/>
        </w:rPr>
        <w:t>Politiche sociali - Cultura - Associazionismo</w:t>
      </w:r>
    </w:p>
    <w:p w:rsidR="004854B0" w:rsidRDefault="004854B0" w:rsidP="004854B0">
      <w:pPr>
        <w:autoSpaceDE w:val="0"/>
        <w:autoSpaceDN w:val="0"/>
        <w:adjustRightInd w:val="0"/>
        <w:spacing w:after="120" w:line="360" w:lineRule="auto"/>
        <w:jc w:val="both"/>
        <w:rPr>
          <w:rFonts w:ascii="Calibri" w:hAnsi="Calibri" w:cs="Calibri"/>
        </w:rPr>
      </w:pP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 xml:space="preserve">Istituire un tavolo tematico con soggetti pubblici e privati che si occupano della prima infanzia per cercare di rendere accessibile alle famiglie i servizi necessari per tale fascia di </w:t>
      </w:r>
      <w:proofErr w:type="spellStart"/>
      <w:r>
        <w:rPr>
          <w:rFonts w:ascii="Trebuchet MS" w:hAnsi="Trebuchet MS" w:cs="Trebuchet MS"/>
          <w:sz w:val="20"/>
          <w:szCs w:val="20"/>
        </w:rPr>
        <w:t>eta`</w:t>
      </w:r>
      <w:proofErr w:type="spellEnd"/>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Migliorare i servizi per gli anziani attraverso l'assistenza domiciliare e il servizio trasporto per chi non e` autonomo</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Organizzazione di in</w:t>
      </w:r>
      <w:r w:rsidR="00D07364">
        <w:rPr>
          <w:rFonts w:ascii="Trebuchet MS" w:hAnsi="Trebuchet MS" w:cs="Trebuchet MS"/>
          <w:sz w:val="20"/>
          <w:szCs w:val="20"/>
        </w:rPr>
        <w:t>iziative volte a favorire il co</w:t>
      </w:r>
      <w:r>
        <w:rPr>
          <w:rFonts w:ascii="Trebuchet MS" w:hAnsi="Trebuchet MS" w:cs="Trebuchet MS"/>
          <w:sz w:val="20"/>
          <w:szCs w:val="20"/>
        </w:rPr>
        <w:t>involgimento degli anziani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Migliorare l'offerta culturale coinvolgendo i gruppi che operano sul territorio comunale, arricchendo la proposta culturale con nuovi percorsi incentrati su spettacoli ed eventi finalizzati a mettere in risalto i talenti locali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Costituzione dell'osservatorio per il sociale e redazione del piano regolatore dei servizi sociali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Istituire la social card</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Completare il centro diurno anziani</w:t>
      </w:r>
    </w:p>
    <w:p w:rsidR="004854B0" w:rsidRDefault="004854B0" w:rsidP="004854B0">
      <w:pPr>
        <w:numPr>
          <w:ilvl w:val="0"/>
          <w:numId w:val="1"/>
        </w:num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0"/>
          <w:szCs w:val="20"/>
        </w:rPr>
        <w:t>Ricostituzione dell'associazione polisportiva</w:t>
      </w:r>
    </w:p>
    <w:p w:rsidR="004854B0" w:rsidRDefault="004854B0" w:rsidP="004854B0">
      <w:pPr>
        <w:autoSpaceDE w:val="0"/>
        <w:autoSpaceDN w:val="0"/>
        <w:adjustRightInd w:val="0"/>
        <w:spacing w:after="120" w:line="360" w:lineRule="auto"/>
        <w:ind w:firstLine="539"/>
        <w:jc w:val="both"/>
        <w:rPr>
          <w:rFonts w:ascii="Calibri" w:hAnsi="Calibri" w:cs="Calibri"/>
        </w:rPr>
      </w:pPr>
    </w:p>
    <w:p w:rsidR="004854B0" w:rsidRDefault="004854B0" w:rsidP="004854B0">
      <w:pPr>
        <w:autoSpaceDE w:val="0"/>
        <w:autoSpaceDN w:val="0"/>
        <w:adjustRightInd w:val="0"/>
        <w:spacing w:after="120" w:line="360" w:lineRule="auto"/>
        <w:ind w:firstLine="539"/>
        <w:jc w:val="both"/>
        <w:rPr>
          <w:rFonts w:ascii="Trebuchet MS" w:hAnsi="Trebuchet MS" w:cs="Trebuchet MS"/>
          <w:b/>
          <w:bCs/>
          <w:sz w:val="20"/>
          <w:szCs w:val="20"/>
        </w:rPr>
      </w:pPr>
      <w:r>
        <w:rPr>
          <w:rFonts w:ascii="Trebuchet MS" w:hAnsi="Trebuchet MS" w:cs="Trebuchet MS"/>
          <w:b/>
          <w:bCs/>
          <w:sz w:val="20"/>
          <w:szCs w:val="20"/>
        </w:rPr>
        <w:t>Lavori pubblici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proofErr w:type="spellStart"/>
      <w:r>
        <w:rPr>
          <w:rFonts w:ascii="Trebuchet MS" w:hAnsi="Trebuchet MS" w:cs="Trebuchet MS"/>
          <w:sz w:val="20"/>
          <w:szCs w:val="20"/>
        </w:rPr>
        <w:t>Efficientare</w:t>
      </w:r>
      <w:proofErr w:type="spellEnd"/>
      <w:r>
        <w:rPr>
          <w:rFonts w:ascii="Trebuchet MS" w:hAnsi="Trebuchet MS" w:cs="Trebuchet MS"/>
          <w:sz w:val="20"/>
          <w:szCs w:val="20"/>
        </w:rPr>
        <w:t xml:space="preserve"> la rete fognaria</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Predisposizione di un piano di interventi pluriennali di interventi di manutenzione e riparazione delle opere esistenti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lastRenderedPageBreak/>
        <w:t xml:space="preserve">- </w:t>
      </w:r>
      <w:r>
        <w:rPr>
          <w:rFonts w:ascii="Trebuchet MS" w:hAnsi="Trebuchet MS" w:cs="Trebuchet MS"/>
          <w:sz w:val="20"/>
          <w:szCs w:val="20"/>
        </w:rPr>
        <w:t xml:space="preserve">Attuazione di interventi finalizzati a valorizzare e sviluppare l'area industriale di </w:t>
      </w:r>
      <w:proofErr w:type="spellStart"/>
      <w:r>
        <w:rPr>
          <w:rFonts w:ascii="Trebuchet MS" w:hAnsi="Trebuchet MS" w:cs="Trebuchet MS"/>
          <w:sz w:val="20"/>
          <w:szCs w:val="20"/>
        </w:rPr>
        <w:t>Padula</w:t>
      </w:r>
      <w:proofErr w:type="spellEnd"/>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 xml:space="preserve">Realizzazione della cartografia digitale della rete di distribuzione </w:t>
      </w:r>
      <w:proofErr w:type="spellStart"/>
      <w:r>
        <w:rPr>
          <w:rFonts w:ascii="Trebuchet MS" w:hAnsi="Trebuchet MS" w:cs="Trebuchet MS"/>
          <w:sz w:val="20"/>
          <w:szCs w:val="20"/>
        </w:rPr>
        <w:t>idropotabile</w:t>
      </w:r>
      <w:proofErr w:type="spellEnd"/>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Rifacimento delle condotte idriche vetuste</w:t>
      </w:r>
    </w:p>
    <w:p w:rsidR="004854B0" w:rsidRDefault="004854B0" w:rsidP="004854B0">
      <w:pPr>
        <w:numPr>
          <w:ilvl w:val="0"/>
          <w:numId w:val="1"/>
        </w:num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0"/>
          <w:szCs w:val="20"/>
        </w:rPr>
        <w:t>Repressione del fenomeno dei furti di acqua potabile</w:t>
      </w:r>
    </w:p>
    <w:p w:rsidR="004854B0" w:rsidRDefault="004854B0" w:rsidP="004854B0">
      <w:pPr>
        <w:autoSpaceDE w:val="0"/>
        <w:autoSpaceDN w:val="0"/>
        <w:adjustRightInd w:val="0"/>
        <w:spacing w:after="120" w:line="360" w:lineRule="auto"/>
        <w:ind w:firstLine="539"/>
        <w:jc w:val="both"/>
        <w:rPr>
          <w:rFonts w:ascii="Calibri" w:hAnsi="Calibri" w:cs="Calibri"/>
        </w:rPr>
      </w:pPr>
    </w:p>
    <w:p w:rsidR="004854B0" w:rsidRDefault="004854B0" w:rsidP="004854B0">
      <w:pPr>
        <w:autoSpaceDE w:val="0"/>
        <w:autoSpaceDN w:val="0"/>
        <w:adjustRightInd w:val="0"/>
        <w:spacing w:after="120" w:line="360" w:lineRule="auto"/>
        <w:ind w:firstLine="539"/>
        <w:jc w:val="both"/>
        <w:rPr>
          <w:rFonts w:ascii="Trebuchet MS" w:hAnsi="Trebuchet MS" w:cs="Trebuchet MS"/>
          <w:b/>
          <w:bCs/>
          <w:sz w:val="20"/>
          <w:szCs w:val="20"/>
        </w:rPr>
      </w:pPr>
      <w:r>
        <w:rPr>
          <w:rFonts w:ascii="Trebuchet MS" w:hAnsi="Trebuchet MS" w:cs="Trebuchet MS"/>
          <w:b/>
          <w:bCs/>
          <w:sz w:val="20"/>
          <w:szCs w:val="20"/>
        </w:rPr>
        <w:t xml:space="preserve">Lavoro - </w:t>
      </w:r>
      <w:proofErr w:type="spellStart"/>
      <w:r>
        <w:rPr>
          <w:rFonts w:ascii="Trebuchet MS" w:hAnsi="Trebuchet MS" w:cs="Trebuchet MS"/>
          <w:b/>
          <w:bCs/>
          <w:sz w:val="20"/>
          <w:szCs w:val="20"/>
        </w:rPr>
        <w:t>Attivita`</w:t>
      </w:r>
      <w:proofErr w:type="spellEnd"/>
      <w:r>
        <w:rPr>
          <w:rFonts w:ascii="Trebuchet MS" w:hAnsi="Trebuchet MS" w:cs="Trebuchet MS"/>
          <w:b/>
          <w:bCs/>
          <w:sz w:val="20"/>
          <w:szCs w:val="20"/>
        </w:rPr>
        <w:t xml:space="preserve"> produttive - Innovazione tecnologica</w:t>
      </w:r>
    </w:p>
    <w:p w:rsidR="004854B0" w:rsidRDefault="004854B0" w:rsidP="004854B0">
      <w:pPr>
        <w:autoSpaceDE w:val="0"/>
        <w:autoSpaceDN w:val="0"/>
        <w:adjustRightInd w:val="0"/>
        <w:spacing w:after="120" w:line="360" w:lineRule="auto"/>
        <w:jc w:val="both"/>
        <w:rPr>
          <w:rFonts w:ascii="Calibri" w:hAnsi="Calibri" w:cs="Calibri"/>
        </w:rPr>
      </w:pP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 xml:space="preserve">Realizzazione di uno studio di </w:t>
      </w:r>
      <w:proofErr w:type="spellStart"/>
      <w:r>
        <w:rPr>
          <w:rFonts w:ascii="Trebuchet MS" w:hAnsi="Trebuchet MS" w:cs="Trebuchet MS"/>
          <w:sz w:val="20"/>
          <w:szCs w:val="20"/>
        </w:rPr>
        <w:t>fattibilita`</w:t>
      </w:r>
      <w:proofErr w:type="spellEnd"/>
      <w:r>
        <w:rPr>
          <w:rFonts w:ascii="Trebuchet MS" w:hAnsi="Trebuchet MS" w:cs="Trebuchet MS"/>
          <w:sz w:val="20"/>
          <w:szCs w:val="20"/>
        </w:rPr>
        <w:t xml:space="preserve"> per la costituzione di una cooperativa nel settore boschivo e agricolo</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 xml:space="preserve">Istituzione di una task </w:t>
      </w:r>
      <w:proofErr w:type="spellStart"/>
      <w:r>
        <w:rPr>
          <w:rFonts w:ascii="Trebuchet MS" w:hAnsi="Trebuchet MS" w:cs="Trebuchet MS"/>
          <w:sz w:val="20"/>
          <w:szCs w:val="20"/>
        </w:rPr>
        <w:t>force</w:t>
      </w:r>
      <w:proofErr w:type="spellEnd"/>
      <w:r>
        <w:rPr>
          <w:rFonts w:ascii="Trebuchet MS" w:hAnsi="Trebuchet MS" w:cs="Trebuchet MS"/>
          <w:sz w:val="20"/>
          <w:szCs w:val="20"/>
        </w:rPr>
        <w:t>, anche in associazione con altro Comuni, per la progettazione e la richiesta di fondi comunitari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Promozione della filiera corta dei prodotti agricoli locali</w:t>
      </w:r>
    </w:p>
    <w:p w:rsidR="004854B0" w:rsidRDefault="004854B0" w:rsidP="004854B0">
      <w:pPr>
        <w:numPr>
          <w:ilvl w:val="0"/>
          <w:numId w:val="1"/>
        </w:num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0"/>
          <w:szCs w:val="20"/>
        </w:rPr>
        <w:t>Istituzione del fondo sollievo disoccupazione per i lavori di piccola manutenzione sul territorio comunale</w:t>
      </w:r>
    </w:p>
    <w:p w:rsidR="004854B0" w:rsidRDefault="004854B0" w:rsidP="004854B0">
      <w:pPr>
        <w:autoSpaceDE w:val="0"/>
        <w:autoSpaceDN w:val="0"/>
        <w:adjustRightInd w:val="0"/>
        <w:spacing w:after="120" w:line="360" w:lineRule="auto"/>
        <w:ind w:firstLine="539"/>
        <w:jc w:val="both"/>
        <w:rPr>
          <w:rFonts w:ascii="Calibri" w:hAnsi="Calibri" w:cs="Calibri"/>
        </w:rPr>
      </w:pPr>
    </w:p>
    <w:p w:rsidR="004854B0" w:rsidRDefault="004854B0" w:rsidP="004854B0">
      <w:pPr>
        <w:autoSpaceDE w:val="0"/>
        <w:autoSpaceDN w:val="0"/>
        <w:adjustRightInd w:val="0"/>
        <w:spacing w:after="120" w:line="360" w:lineRule="auto"/>
        <w:ind w:firstLine="539"/>
        <w:jc w:val="both"/>
        <w:rPr>
          <w:rFonts w:ascii="Calibri" w:hAnsi="Calibri" w:cs="Calibri"/>
        </w:rPr>
      </w:pPr>
    </w:p>
    <w:p w:rsidR="004854B0" w:rsidRDefault="004854B0" w:rsidP="004854B0">
      <w:pPr>
        <w:autoSpaceDE w:val="0"/>
        <w:autoSpaceDN w:val="0"/>
        <w:adjustRightInd w:val="0"/>
        <w:spacing w:after="120" w:line="360" w:lineRule="auto"/>
        <w:ind w:firstLine="539"/>
        <w:jc w:val="both"/>
        <w:rPr>
          <w:rFonts w:ascii="Trebuchet MS" w:hAnsi="Trebuchet MS" w:cs="Trebuchet MS"/>
          <w:b/>
          <w:bCs/>
          <w:sz w:val="20"/>
          <w:szCs w:val="20"/>
        </w:rPr>
      </w:pPr>
      <w:r>
        <w:rPr>
          <w:rFonts w:ascii="Trebuchet MS" w:hAnsi="Trebuchet MS" w:cs="Trebuchet MS"/>
          <w:b/>
          <w:bCs/>
          <w:sz w:val="20"/>
          <w:szCs w:val="20"/>
        </w:rPr>
        <w:t>Urbanistica - Edilizia pubblica</w:t>
      </w:r>
    </w:p>
    <w:p w:rsidR="004854B0" w:rsidRDefault="004854B0" w:rsidP="004854B0">
      <w:pPr>
        <w:autoSpaceDE w:val="0"/>
        <w:autoSpaceDN w:val="0"/>
        <w:adjustRightInd w:val="0"/>
        <w:spacing w:after="120" w:line="360" w:lineRule="auto"/>
        <w:ind w:firstLine="539"/>
        <w:jc w:val="both"/>
        <w:rPr>
          <w:rFonts w:ascii="Trebuchet MS" w:hAnsi="Trebuchet MS" w:cs="Trebuchet MS"/>
          <w:sz w:val="21"/>
          <w:szCs w:val="21"/>
        </w:rPr>
      </w:pPr>
      <w:r>
        <w:rPr>
          <w:rFonts w:ascii="Trebuchet MS" w:hAnsi="Trebuchet MS" w:cs="Trebuchet MS"/>
          <w:sz w:val="21"/>
          <w:szCs w:val="21"/>
        </w:rPr>
        <w:t> </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 xml:space="preserve">Approvazione del piano strutturale associato con i Comuni di </w:t>
      </w:r>
      <w:proofErr w:type="spellStart"/>
      <w:r>
        <w:rPr>
          <w:rFonts w:ascii="Trebuchet MS" w:hAnsi="Trebuchet MS" w:cs="Trebuchet MS"/>
          <w:sz w:val="20"/>
          <w:szCs w:val="20"/>
        </w:rPr>
        <w:t>Rovito</w:t>
      </w:r>
      <w:proofErr w:type="spellEnd"/>
      <w:r>
        <w:rPr>
          <w:rFonts w:ascii="Trebuchet MS" w:hAnsi="Trebuchet MS" w:cs="Trebuchet MS"/>
          <w:sz w:val="20"/>
          <w:szCs w:val="20"/>
        </w:rPr>
        <w:t xml:space="preserve"> - </w:t>
      </w:r>
      <w:proofErr w:type="spellStart"/>
      <w:r>
        <w:rPr>
          <w:rFonts w:ascii="Trebuchet MS" w:hAnsi="Trebuchet MS" w:cs="Trebuchet MS"/>
          <w:sz w:val="20"/>
          <w:szCs w:val="20"/>
        </w:rPr>
        <w:t>Castiglione</w:t>
      </w:r>
      <w:proofErr w:type="spellEnd"/>
      <w:r>
        <w:rPr>
          <w:rFonts w:ascii="Trebuchet MS" w:hAnsi="Trebuchet MS" w:cs="Trebuchet MS"/>
          <w:sz w:val="20"/>
          <w:szCs w:val="20"/>
        </w:rPr>
        <w:t xml:space="preserve"> Cosentino - Lappano</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Ricognizione dei piani di lottizzazione</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 xml:space="preserve">Definizione delle pratiche per il </w:t>
      </w:r>
      <w:proofErr w:type="spellStart"/>
      <w:r>
        <w:rPr>
          <w:rFonts w:ascii="Trebuchet MS" w:hAnsi="Trebuchet MS" w:cs="Trebuchet MS"/>
          <w:sz w:val="20"/>
          <w:szCs w:val="20"/>
        </w:rPr>
        <w:t>rilascion</w:t>
      </w:r>
      <w:proofErr w:type="spellEnd"/>
      <w:r>
        <w:rPr>
          <w:rFonts w:ascii="Trebuchet MS" w:hAnsi="Trebuchet MS" w:cs="Trebuchet MS"/>
          <w:sz w:val="20"/>
          <w:szCs w:val="20"/>
        </w:rPr>
        <w:t xml:space="preserve"> dei contributi in conto capitale per </w:t>
      </w:r>
      <w:proofErr w:type="spellStart"/>
      <w:r>
        <w:rPr>
          <w:rFonts w:ascii="Trebuchet MS" w:hAnsi="Trebuchet MS" w:cs="Trebuchet MS"/>
          <w:sz w:val="20"/>
          <w:szCs w:val="20"/>
        </w:rPr>
        <w:t>recuper</w:t>
      </w:r>
      <w:proofErr w:type="spellEnd"/>
      <w:r>
        <w:rPr>
          <w:rFonts w:ascii="Trebuchet MS" w:hAnsi="Trebuchet MS" w:cs="Trebuchet MS"/>
          <w:sz w:val="20"/>
          <w:szCs w:val="20"/>
        </w:rPr>
        <w:t xml:space="preserve"> e/o acquisto della prima casa</w:t>
      </w:r>
    </w:p>
    <w:p w:rsidR="004854B0" w:rsidRDefault="004854B0" w:rsidP="004854B0">
      <w:pPr>
        <w:numPr>
          <w:ilvl w:val="0"/>
          <w:numId w:val="1"/>
        </w:num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0"/>
          <w:szCs w:val="20"/>
        </w:rPr>
        <w:t>Approvazione della graduatoria e assegnazione degli alloggi di edilizia residenziale pubblica</w:t>
      </w:r>
    </w:p>
    <w:p w:rsidR="004854B0" w:rsidRDefault="004854B0" w:rsidP="004854B0">
      <w:pPr>
        <w:numPr>
          <w:ilvl w:val="0"/>
          <w:numId w:val="1"/>
        </w:numPr>
        <w:autoSpaceDE w:val="0"/>
        <w:autoSpaceDN w:val="0"/>
        <w:adjustRightInd w:val="0"/>
        <w:spacing w:after="120" w:line="360" w:lineRule="auto"/>
        <w:ind w:firstLine="539"/>
        <w:jc w:val="both"/>
        <w:rPr>
          <w:rFonts w:ascii="Calibri" w:hAnsi="Calibri" w:cs="Calibri"/>
        </w:rPr>
      </w:pPr>
    </w:p>
    <w:p w:rsidR="004854B0" w:rsidRDefault="004854B0" w:rsidP="004854B0">
      <w:pPr>
        <w:autoSpaceDE w:val="0"/>
        <w:autoSpaceDN w:val="0"/>
        <w:adjustRightInd w:val="0"/>
        <w:spacing w:after="120" w:line="360" w:lineRule="auto"/>
        <w:ind w:firstLine="539"/>
        <w:jc w:val="both"/>
        <w:rPr>
          <w:rFonts w:ascii="Trebuchet MS" w:hAnsi="Trebuchet MS" w:cs="Trebuchet MS"/>
          <w:b/>
          <w:bCs/>
          <w:sz w:val="20"/>
          <w:szCs w:val="20"/>
        </w:rPr>
      </w:pPr>
      <w:r>
        <w:rPr>
          <w:rFonts w:ascii="Trebuchet MS" w:hAnsi="Trebuchet MS" w:cs="Trebuchet MS"/>
          <w:b/>
          <w:bCs/>
          <w:sz w:val="20"/>
          <w:szCs w:val="20"/>
        </w:rPr>
        <w:t>Igiene urbana</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Gestione in forma associata del servizio di raccolta, trasporto e smaltimento dei rifiuti solidi urbani</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lastRenderedPageBreak/>
        <w:t xml:space="preserve">- </w:t>
      </w:r>
      <w:r>
        <w:rPr>
          <w:rFonts w:ascii="Trebuchet MS" w:hAnsi="Trebuchet MS" w:cs="Trebuchet MS"/>
          <w:sz w:val="20"/>
          <w:szCs w:val="20"/>
        </w:rPr>
        <w:t xml:space="preserve">Valutazione con i comuni limitrofi di una gestione </w:t>
      </w:r>
      <w:r>
        <w:rPr>
          <w:rFonts w:ascii="Trebuchet MS" w:hAnsi="Trebuchet MS" w:cs="Trebuchet MS"/>
          <w:i/>
          <w:iCs/>
          <w:sz w:val="20"/>
          <w:szCs w:val="20"/>
        </w:rPr>
        <w:t xml:space="preserve">in house </w:t>
      </w:r>
      <w:proofErr w:type="spellStart"/>
      <w:r>
        <w:rPr>
          <w:rFonts w:ascii="Trebuchet MS" w:hAnsi="Trebuchet MS" w:cs="Trebuchet MS"/>
          <w:i/>
          <w:iCs/>
          <w:sz w:val="20"/>
          <w:szCs w:val="20"/>
        </w:rPr>
        <w:t>providing</w:t>
      </w:r>
      <w:proofErr w:type="spellEnd"/>
      <w:r>
        <w:rPr>
          <w:rFonts w:ascii="Trebuchet MS" w:hAnsi="Trebuchet MS" w:cs="Trebuchet MS"/>
          <w:i/>
          <w:iCs/>
          <w:sz w:val="20"/>
          <w:szCs w:val="20"/>
        </w:rPr>
        <w:t xml:space="preserve"> </w:t>
      </w:r>
      <w:r>
        <w:rPr>
          <w:rFonts w:ascii="Trebuchet MS" w:hAnsi="Trebuchet MS" w:cs="Trebuchet MS"/>
          <w:sz w:val="20"/>
          <w:szCs w:val="20"/>
        </w:rPr>
        <w:t>del servizio di igiene ambientale</w:t>
      </w:r>
    </w:p>
    <w:p w:rsidR="004854B0" w:rsidRDefault="004854B0" w:rsidP="004854B0">
      <w:pPr>
        <w:autoSpaceDE w:val="0"/>
        <w:autoSpaceDN w:val="0"/>
        <w:adjustRightInd w:val="0"/>
        <w:spacing w:after="120" w:line="360" w:lineRule="auto"/>
        <w:ind w:firstLine="539"/>
        <w:jc w:val="both"/>
        <w:rPr>
          <w:rFonts w:ascii="Trebuchet MS" w:hAnsi="Trebuchet MS" w:cs="Trebuchet MS"/>
          <w:sz w:val="21"/>
          <w:szCs w:val="21"/>
        </w:rPr>
      </w:pPr>
      <w:r>
        <w:rPr>
          <w:rFonts w:ascii="Trebuchet MS" w:hAnsi="Trebuchet MS" w:cs="Trebuchet MS"/>
          <w:sz w:val="21"/>
          <w:szCs w:val="21"/>
        </w:rPr>
        <w:t> </w:t>
      </w:r>
    </w:p>
    <w:p w:rsidR="004854B0" w:rsidRDefault="004854B0" w:rsidP="004854B0">
      <w:pPr>
        <w:autoSpaceDE w:val="0"/>
        <w:autoSpaceDN w:val="0"/>
        <w:adjustRightInd w:val="0"/>
        <w:spacing w:after="120" w:line="360" w:lineRule="auto"/>
        <w:ind w:firstLine="539"/>
        <w:jc w:val="both"/>
        <w:rPr>
          <w:rFonts w:ascii="Trebuchet MS" w:hAnsi="Trebuchet MS" w:cs="Trebuchet MS"/>
          <w:b/>
          <w:bCs/>
          <w:sz w:val="20"/>
          <w:szCs w:val="20"/>
        </w:rPr>
      </w:pPr>
      <w:r>
        <w:rPr>
          <w:rFonts w:ascii="Trebuchet MS" w:hAnsi="Trebuchet MS" w:cs="Trebuchet MS"/>
          <w:b/>
          <w:bCs/>
          <w:sz w:val="20"/>
          <w:szCs w:val="20"/>
        </w:rPr>
        <w:t>Patrimonio Comunale</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 xml:space="preserve">Riordino e ricognizione dei terreni di </w:t>
      </w:r>
      <w:proofErr w:type="spellStart"/>
      <w:r>
        <w:rPr>
          <w:rFonts w:ascii="Trebuchet MS" w:hAnsi="Trebuchet MS" w:cs="Trebuchet MS"/>
          <w:sz w:val="20"/>
          <w:szCs w:val="20"/>
        </w:rPr>
        <w:t>proprieta`</w:t>
      </w:r>
      <w:proofErr w:type="spellEnd"/>
      <w:r>
        <w:rPr>
          <w:rFonts w:ascii="Trebuchet MS" w:hAnsi="Trebuchet MS" w:cs="Trebuchet MS"/>
          <w:sz w:val="20"/>
          <w:szCs w:val="20"/>
        </w:rPr>
        <w:t xml:space="preserve"> comunale</w:t>
      </w:r>
    </w:p>
    <w:p w:rsidR="004854B0" w:rsidRDefault="004854B0" w:rsidP="004854B0">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Gestione dei boschi comunali attraverso la redazione e approvazione del Piano di gestione dei boschi comunali</w:t>
      </w:r>
    </w:p>
    <w:p w:rsidR="004854B0" w:rsidRDefault="004854B0" w:rsidP="004854B0">
      <w:pPr>
        <w:autoSpaceDE w:val="0"/>
        <w:autoSpaceDN w:val="0"/>
        <w:adjustRightInd w:val="0"/>
        <w:spacing w:after="120" w:line="360" w:lineRule="auto"/>
        <w:ind w:firstLine="539"/>
        <w:jc w:val="both"/>
        <w:rPr>
          <w:rFonts w:ascii="Calibri" w:hAnsi="Calibri" w:cs="Calibri"/>
        </w:rPr>
      </w:pPr>
    </w:p>
    <w:p w:rsidR="004854B0" w:rsidRDefault="004854B0" w:rsidP="004854B0">
      <w:pPr>
        <w:autoSpaceDE w:val="0"/>
        <w:autoSpaceDN w:val="0"/>
        <w:adjustRightInd w:val="0"/>
        <w:spacing w:after="120" w:line="360" w:lineRule="auto"/>
        <w:ind w:firstLine="539"/>
        <w:jc w:val="both"/>
        <w:rPr>
          <w:rFonts w:ascii="Trebuchet MS" w:hAnsi="Trebuchet MS" w:cs="Trebuchet MS"/>
          <w:b/>
          <w:bCs/>
          <w:sz w:val="20"/>
          <w:szCs w:val="20"/>
        </w:rPr>
      </w:pPr>
      <w:r>
        <w:rPr>
          <w:rFonts w:ascii="Trebuchet MS" w:hAnsi="Trebuchet MS" w:cs="Trebuchet MS"/>
          <w:b/>
          <w:bCs/>
          <w:sz w:val="20"/>
          <w:szCs w:val="20"/>
        </w:rPr>
        <w:t>Tributi Locali</w:t>
      </w:r>
    </w:p>
    <w:p w:rsidR="004854B0" w:rsidRDefault="004854B0" w:rsidP="00A46E35">
      <w:pPr>
        <w:autoSpaceDE w:val="0"/>
        <w:autoSpaceDN w:val="0"/>
        <w:adjustRightInd w:val="0"/>
        <w:spacing w:after="120" w:line="360" w:lineRule="auto"/>
        <w:ind w:left="240" w:firstLine="539"/>
        <w:jc w:val="both"/>
        <w:rPr>
          <w:rFonts w:ascii="Trebuchet MS" w:hAnsi="Trebuchet MS" w:cs="Trebuchet MS"/>
          <w:sz w:val="20"/>
          <w:szCs w:val="20"/>
        </w:rPr>
      </w:pPr>
      <w:r>
        <w:rPr>
          <w:rFonts w:ascii="Trebuchet MS" w:hAnsi="Trebuchet MS" w:cs="Trebuchet MS"/>
          <w:sz w:val="24"/>
          <w:szCs w:val="24"/>
        </w:rPr>
        <w:t xml:space="preserve">- </w:t>
      </w:r>
      <w:r>
        <w:rPr>
          <w:rFonts w:ascii="Trebuchet MS" w:hAnsi="Trebuchet MS" w:cs="Trebuchet MS"/>
          <w:sz w:val="20"/>
          <w:szCs w:val="20"/>
        </w:rPr>
        <w:t>Potenziamento della struttura dell'ufficio tributi comunale attraverso una gestione interna</w:t>
      </w:r>
    </w:p>
    <w:p w:rsidR="004854B0" w:rsidRDefault="004854B0" w:rsidP="004854B0">
      <w:pPr>
        <w:autoSpaceDE w:val="0"/>
        <w:autoSpaceDN w:val="0"/>
        <w:adjustRightInd w:val="0"/>
        <w:spacing w:after="0" w:line="360" w:lineRule="auto"/>
        <w:ind w:firstLine="539"/>
        <w:jc w:val="both"/>
        <w:rPr>
          <w:rFonts w:ascii="Calibri" w:hAnsi="Calibri" w:cs="Calibri"/>
        </w:rPr>
      </w:pPr>
    </w:p>
    <w:p w:rsidR="00A46E35" w:rsidRDefault="00A46E35"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2D7357" w:rsidRDefault="002D7357" w:rsidP="004854B0">
      <w:pPr>
        <w:autoSpaceDE w:val="0"/>
        <w:autoSpaceDN w:val="0"/>
        <w:adjustRightInd w:val="0"/>
        <w:spacing w:after="0" w:line="360" w:lineRule="auto"/>
        <w:ind w:firstLine="539"/>
        <w:jc w:val="both"/>
        <w:rPr>
          <w:rFonts w:ascii="Calibri" w:hAnsi="Calibri" w:cs="Calibri"/>
        </w:rPr>
      </w:pPr>
    </w:p>
    <w:p w:rsidR="00A46E35" w:rsidRDefault="00A46E35" w:rsidP="00A46E35">
      <w:pPr>
        <w:autoSpaceDE w:val="0"/>
        <w:autoSpaceDN w:val="0"/>
        <w:adjustRightInd w:val="0"/>
        <w:spacing w:before="227" w:after="1134" w:line="240" w:lineRule="auto"/>
        <w:rPr>
          <w:rFonts w:ascii="Trebuchet MS" w:hAnsi="Trebuchet MS" w:cs="Trebuchet MS"/>
          <w:caps/>
          <w:color w:val="000000"/>
          <w:sz w:val="64"/>
          <w:szCs w:val="64"/>
          <w:highlight w:val="white"/>
        </w:rPr>
      </w:pPr>
      <w:r>
        <w:rPr>
          <w:rFonts w:ascii="Trebuchet MS" w:hAnsi="Trebuchet MS" w:cs="Trebuchet MS"/>
          <w:caps/>
          <w:color w:val="000000"/>
          <w:sz w:val="64"/>
          <w:szCs w:val="64"/>
          <w:highlight w:val="white"/>
        </w:rPr>
        <w:t>SEZIONE OPERATIVA</w:t>
      </w:r>
    </w:p>
    <w:p w:rsidR="00A46E35" w:rsidRDefault="00A46E35" w:rsidP="00A46E35">
      <w:pPr>
        <w:autoSpaceDE w:val="0"/>
        <w:autoSpaceDN w:val="0"/>
        <w:adjustRightInd w:val="0"/>
        <w:spacing w:before="113" w:after="850" w:line="240" w:lineRule="auto"/>
        <w:ind w:firstLine="539"/>
        <w:rPr>
          <w:rFonts w:ascii="Trebuchet MS" w:hAnsi="Trebuchet MS" w:cs="Trebuchet MS"/>
          <w:color w:val="000000"/>
          <w:sz w:val="48"/>
          <w:szCs w:val="48"/>
          <w:highlight w:val="white"/>
        </w:rPr>
      </w:pPr>
      <w:r>
        <w:rPr>
          <w:rFonts w:ascii="Trebuchet MS" w:hAnsi="Trebuchet MS" w:cs="Trebuchet MS"/>
          <w:color w:val="000000"/>
          <w:sz w:val="48"/>
          <w:szCs w:val="48"/>
          <w:highlight w:val="white"/>
        </w:rPr>
        <w:t>Parte prima</w:t>
      </w:r>
    </w:p>
    <w:p w:rsidR="00A46E35" w:rsidRDefault="00A46E35" w:rsidP="00A46E35">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 xml:space="preserve">Obiettivi operativi ed indicatori </w:t>
      </w:r>
    </w:p>
    <w:p w:rsidR="00A46E35" w:rsidRPr="002D7357" w:rsidRDefault="00A46E35" w:rsidP="00A46E35">
      <w:pPr>
        <w:autoSpaceDE w:val="0"/>
        <w:autoSpaceDN w:val="0"/>
        <w:adjustRightInd w:val="0"/>
        <w:spacing w:after="0" w:line="360" w:lineRule="auto"/>
        <w:ind w:firstLine="539"/>
        <w:jc w:val="both"/>
        <w:rPr>
          <w:rFonts w:ascii="Trebuchet MS" w:hAnsi="Trebuchet MS" w:cs="Trebuchet MS"/>
          <w:b/>
          <w:sz w:val="21"/>
          <w:szCs w:val="21"/>
        </w:rPr>
      </w:pPr>
      <w:r w:rsidRPr="002D7357">
        <w:rPr>
          <w:rFonts w:ascii="Trebuchet MS" w:hAnsi="Trebuchet MS" w:cs="Trebuchet MS"/>
          <w:b/>
          <w:sz w:val="21"/>
          <w:szCs w:val="21"/>
        </w:rPr>
        <w:t>Nella sezione Operativa si traducono in obiettivi misurabili le linee di mandato dell'Amministrazi</w:t>
      </w:r>
      <w:r w:rsidR="002D7357" w:rsidRPr="002D7357">
        <w:rPr>
          <w:rFonts w:ascii="Trebuchet MS" w:hAnsi="Trebuchet MS" w:cs="Trebuchet MS"/>
          <w:b/>
          <w:sz w:val="21"/>
          <w:szCs w:val="21"/>
        </w:rPr>
        <w:t>one come riportate nella Sezione Strategica. L’ufficio finanziario ha avviato l’istruttoria per la predisposizione puntuale di obiettivi operativi che permettano di rendere misurabile l’azione amministrativa. Tali obiettivi, di cui alcuni già raggiunti, verranno inserite all’interno della nota di aggiornamento al DUP 2017/2019 (15 novembre 2016).</w:t>
      </w:r>
      <w:r w:rsidR="00B530AD">
        <w:rPr>
          <w:rFonts w:ascii="Trebuchet MS" w:hAnsi="Trebuchet MS" w:cs="Trebuchet MS"/>
          <w:b/>
          <w:sz w:val="21"/>
          <w:szCs w:val="21"/>
        </w:rPr>
        <w:t xml:space="preserve"> </w:t>
      </w:r>
    </w:p>
    <w:p w:rsidR="00A46E35" w:rsidRDefault="00A46E35" w:rsidP="002D7357">
      <w:pPr>
        <w:autoSpaceDE w:val="0"/>
        <w:autoSpaceDN w:val="0"/>
        <w:adjustRightInd w:val="0"/>
        <w:spacing w:after="0" w:line="360" w:lineRule="auto"/>
        <w:jc w:val="both"/>
        <w:rPr>
          <w:rFonts w:ascii="Calibri" w:hAnsi="Calibri" w:cs="Calibri"/>
        </w:rPr>
      </w:pPr>
    </w:p>
    <w:p w:rsidR="00A46E35" w:rsidRDefault="00A46E35" w:rsidP="00A46E35">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Elenco dei programmi per missione</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E' in questa sezione che si evidenziano le modalità operative che l'Amministrazione intende perseguire per il raggiungimento degli obiettivi descritti nella Seziona Strategica.</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Suddivisi in missioni e programmi secondo la classificazione obbligatoria stabili</w:t>
      </w:r>
      <w:r w:rsidR="002D7357">
        <w:rPr>
          <w:rFonts w:ascii="Trebuchet MS" w:hAnsi="Trebuchet MS" w:cs="Trebuchet MS"/>
          <w:sz w:val="21"/>
          <w:szCs w:val="21"/>
        </w:rPr>
        <w:t>t</w:t>
      </w:r>
      <w:r>
        <w:rPr>
          <w:rFonts w:ascii="Trebuchet MS" w:hAnsi="Trebuchet MS" w:cs="Trebuchet MS"/>
          <w:sz w:val="21"/>
          <w:szCs w:val="21"/>
        </w:rPr>
        <w:t>a dall'Ordinamento Contabile, troviamo qui di seguito un elenco dettagliato che illustra le finalità di ciascun programma, l'ambito operativo e le risorse messe a disposizione per il raggiungimento degli obiettivi.</w:t>
      </w:r>
    </w:p>
    <w:p w:rsidR="002D7357" w:rsidRDefault="002D7357" w:rsidP="00A46E35">
      <w:pPr>
        <w:autoSpaceDE w:val="0"/>
        <w:autoSpaceDN w:val="0"/>
        <w:adjustRightInd w:val="0"/>
        <w:spacing w:after="0" w:line="360" w:lineRule="auto"/>
        <w:ind w:firstLine="539"/>
        <w:jc w:val="both"/>
        <w:rPr>
          <w:rFonts w:ascii="Trebuchet MS" w:hAnsi="Trebuchet MS" w:cs="Trebuchet MS"/>
          <w:sz w:val="21"/>
          <w:szCs w:val="21"/>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803"/>
        <w:gridCol w:w="1058"/>
        <w:gridCol w:w="4130"/>
        <w:gridCol w:w="4131"/>
      </w:tblGrid>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MISSIONE</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PROGRAMMA</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DENOMINAZIONE</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DESCRIZIONE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ORGANI ISTITUZIONALI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Amministrazione, funzionamento e supporto agli organi esecutivi e legislativi dell'ente. Comprende le spese relative a: 1) l’ufficio del capo dell’esecutivo a tutti i livelli dell’amministrazione: l’ufficio del governatore, del presidente, del sindaco, ecc.; 2) gli organi legislativi e gli organi di governo a tutti i livelli dell’amministrazione: assemblee, consigli, ecc.; 3) il personale consulente, amministrativo e politico assegnato agli uffici del capo dell’esecutivo e del corpo legislativo; 4) le attrezzature materiali per il capo dell’esecutivo, il corpo legislativo e loro uffici di supporto; 5) le commissioni e i comitati permanenti o dedicati creati dal o che agiscono per conto del capo dell’esecutivo o del corpo legislativo. Non comprende </w:t>
            </w:r>
            <w:r w:rsidRPr="002D7357">
              <w:rPr>
                <w:rFonts w:ascii="Trebuchet MS" w:eastAsia="Times New Roman" w:hAnsi="Trebuchet MS" w:cs="Times New Roman"/>
                <w:sz w:val="16"/>
                <w:szCs w:val="16"/>
              </w:rPr>
              <w:lastRenderedPageBreak/>
              <w:t xml:space="preserve">le spese relative agli uffici dei capi di dipartimento, delle commissioni, ecc. che svolgono specifiche funzioni e sono attribuibili a specifici programmi di spesa. Comprende le spese per lo sviluppo dell'ente in un'ottica di </w:t>
            </w:r>
            <w:proofErr w:type="spellStart"/>
            <w:r w:rsidRPr="002D7357">
              <w:rPr>
                <w:rFonts w:ascii="Trebuchet MS" w:eastAsia="Times New Roman" w:hAnsi="Trebuchet MS" w:cs="Times New Roman"/>
                <w:sz w:val="16"/>
                <w:szCs w:val="16"/>
              </w:rPr>
              <w:t>governance</w:t>
            </w:r>
            <w:proofErr w:type="spellEnd"/>
            <w:r w:rsidRPr="002D7357">
              <w:rPr>
                <w:rFonts w:ascii="Trebuchet MS" w:eastAsia="Times New Roman" w:hAnsi="Trebuchet MS" w:cs="Times New Roman"/>
                <w:sz w:val="16"/>
                <w:szCs w:val="16"/>
              </w:rPr>
              <w:t xml:space="preserve"> e partenariato; le spese per la comunicazione istituzionale (in particolare in relazione ai rapporti con gli organi di informazione) e le manifestazioni istituzionali (cerimoniale). Comprende le spese per le attività del difensore civico.</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lastRenderedPageBreak/>
              <w:t>1</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2</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SEGRETERIA GENERALE</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funzionamento e supporto, tecnico, operativo e gestionale alle attività deliberative degli organi istituzionali e per il coordinamento generale amministrativo. Comprende le spese relative: allo svolgimento delle attività affidate al Segretario Generale e al Direttore Generale (ove esistente) o che non rientrano nella specifica competenza di altri settori; alla raccolta e diffusione di leggi e documentazioni di carattere generale concernenti l'attività dell'ente; alla rielaborazione di studi su materie non demandate ai singoli settori; a tutte le attività del protocollo generale, incluse la registrazione ed archiviazione degli atti degli uffici dell'ente e della corrispondenza in arrivo ed in partenza.</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3</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GESTIONE ECONOMICA E FINANZIARIA</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dei servizi per la programmazione economica e finanziaria in generale. Comprende le spese per la formulazione, il coordinamento e il monitoraggio dei piani e dei programmi economici e finanziari in generale, per la gestione dei servizi di tesoreria, del bilancio, di revisione contabile e di contabilità ai fini degli adempimenti fiscali obbligatori per le attività svolte dall'ente. Amministrazione e funzionamento delle attività del provveditorato per l’approvvigionamento dei beni mobili e di consumo nonché dei servizi di uso generale necessari al funzionamento dell’ente. Comprende le spese per incremento di attività finanziarie (titolo 3 della spesa) non direttamente attribuibili a specifiche missioni di spesa. Sono incluse altresì le spese per le attività di coordinamento svolte dall’ente per la gestione delle società partecipate, sia in relazione ai criteri di gestione e valutazione delle attività svolte mediante le suddette società, sia in relazione all’analisi dei relativi documenti di bilancio per le attività di programmazione e controllo dell’ente, qualora la spesa per tali società partecipate non sia direttamente attribuibile a specifiche missioni di intervento. Non comprende le spese per gli oneri per la sottoscrizione o l’emissione e il pagamento per interessi sui mutui e sulle obbligazioni assunte dall'ente.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4</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GESTIONE DELLE ENTRATE TRIBUTARIE</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Si occupa della riscossione dei tributi, anche in relazione alle attività di contrasto all'evasione e all'elusione fiscale, di competenza dell'ente. Comprende le spese per la gestione del contenzioso in materia tributaria. Comprende le spese per le attività di studio e di ricerca in ordine alla fiscalità dell'ente, di elaborazione delle informazioni e di riscontro della capacità contributiva, di progettazione delle procedure e delle risorse informatiche relative ai servizi fiscali e tributari, e della gestione dei relativi archivi informativi. Comprende le spese per le attività catastali.</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5</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GESTIONE DEI BENI DEMANIALI E PATR.</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Amministrazione e funzionamento del servizio di gestione del patrimonio dell'ente. Comprende le spese per la gestione amministrativa dei beni immobili patrimoniali e demaniali, le procedure di alienazione, </w:t>
            </w:r>
            <w:r w:rsidRPr="002D7357">
              <w:rPr>
                <w:rFonts w:ascii="Trebuchet MS" w:eastAsia="Times New Roman" w:hAnsi="Trebuchet MS" w:cs="Times New Roman"/>
                <w:sz w:val="16"/>
                <w:szCs w:val="16"/>
              </w:rPr>
              <w:lastRenderedPageBreak/>
              <w:t>le valutazioni di convenienza e le procedure tecnico-amministrative, le stime e i computi relativi ad affittanze attive e passive. Comprende le spese per la tenuta degli inventari, la predisposizione e l’aggiornamento di un sistema informativo per la rilevazione delle unità immobiliari e dei principali dati tecnici ed economici relativi all’utilizzazione del patrimonio e del demanio di competenza dell'ente. Non comprende le spese per la razionalizzazione e la valorizzazione del patrimonio di edilizia residenziale pubblica.</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lastRenderedPageBreak/>
              <w:t>1</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6</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UFFICIO TECNICO</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Amministrazione e funzionamento dei servizi per l'edilizia relativi a: gli atti e le istruttorie </w:t>
            </w:r>
            <w:proofErr w:type="spellStart"/>
            <w:r w:rsidRPr="002D7357">
              <w:rPr>
                <w:rFonts w:ascii="Trebuchet MS" w:eastAsia="Times New Roman" w:hAnsi="Trebuchet MS" w:cs="Times New Roman"/>
                <w:sz w:val="16"/>
                <w:szCs w:val="16"/>
              </w:rPr>
              <w:t>autorizzative</w:t>
            </w:r>
            <w:proofErr w:type="spellEnd"/>
            <w:r w:rsidRPr="002D7357">
              <w:rPr>
                <w:rFonts w:ascii="Trebuchet MS" w:eastAsia="Times New Roman" w:hAnsi="Trebuchet MS" w:cs="Times New Roman"/>
                <w:sz w:val="16"/>
                <w:szCs w:val="16"/>
              </w:rPr>
              <w:t xml:space="preserve"> (permessi di costruire, dichiarazioni e segnalazioni per inizio attività edilizia, certificati di destinazione urbanistica, condoni ecc.); le connesse attività di vigilanza e controllo; le certificazioni di agibilità. Amministrazione e funzionamento delle attività per la programmazione e il coordinamento degli interventi nel campo delle opere pubbliche inserite nel programma triennale ed annuale dei lavori previsto dal </w:t>
            </w:r>
            <w:proofErr w:type="spellStart"/>
            <w:r w:rsidRPr="002D7357">
              <w:rPr>
                <w:rFonts w:ascii="Trebuchet MS" w:eastAsia="Times New Roman" w:hAnsi="Trebuchet MS" w:cs="Times New Roman"/>
                <w:sz w:val="16"/>
                <w:szCs w:val="16"/>
              </w:rPr>
              <w:t>D.Lgs.</w:t>
            </w:r>
            <w:proofErr w:type="spellEnd"/>
            <w:r w:rsidRPr="002D7357">
              <w:rPr>
                <w:rFonts w:ascii="Trebuchet MS" w:eastAsia="Times New Roman" w:hAnsi="Trebuchet MS" w:cs="Times New Roman"/>
                <w:sz w:val="16"/>
                <w:szCs w:val="16"/>
              </w:rPr>
              <w:t xml:space="preserve"> 12 aprile 2006 n. 163, e successive modifiche e integrazioni, con riferimento ad edifici pubblici di nuova edificazione o in ristrutturazione/adeguamento funzionale, destinati a varie tipologie di servizi (sociale, scolastico, sportivo, cimiteriale, sedi istituzionali). Non comprende le spese per la realizzazione e la gestione delle suddette opere pubbliche, classificate negli specifici programmi in base alla finalità della spesa. Comprende le spese per gli interventi, di programmazione, progettazione, realizzazione e di manutenzione ordinaria e straordinaria, programmati dall'ente nel campo delle opere pubbliche relative agli immobili che sono sedi istituzionali e degli uffici dell'ente, ai monumenti e agli edifici monumentali (che non sono beni artistici e culturali) di competenza dell'ente.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7</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ELEZIONI E CONSULTAZIONI POPOLARI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dell'anagrafe e dei registri di stato civile. Comprende le spese per la tenuta e l'aggiornamento dei registri della popolazione residente e dell'</w:t>
            </w:r>
            <w:proofErr w:type="spellStart"/>
            <w:r w:rsidRPr="002D7357">
              <w:rPr>
                <w:rFonts w:ascii="Trebuchet MS" w:eastAsia="Times New Roman" w:hAnsi="Trebuchet MS" w:cs="Times New Roman"/>
                <w:sz w:val="16"/>
                <w:szCs w:val="16"/>
              </w:rPr>
              <w:t>A.I.R.E.</w:t>
            </w:r>
            <w:proofErr w:type="spellEnd"/>
            <w:r w:rsidRPr="002D7357">
              <w:rPr>
                <w:rFonts w:ascii="Trebuchet MS" w:eastAsia="Times New Roman" w:hAnsi="Trebuchet MS" w:cs="Times New Roman"/>
                <w:sz w:val="16"/>
                <w:szCs w:val="16"/>
              </w:rPr>
              <w:t xml:space="preserve"> (Anagrafe Italiani Residenti all'Estero), il rilascio di certificati anagrafici e carte d'identità, l'effettuazione di tutti gli atti previsti dall'ordinamento anagrafico, quali l'archivio delle schede anagrafiche individuali, di famiglia, di convivenza, certificati storici; le spese per la registrazione degli eventi di nascita, matrimonio, morte e cittadinanza e varie modifiche dei registri di stato civile. Comprende le spese per notifiche e accertamenti domiciliari effettuati in relazione ai servizi demografici. Amministrazione e funzionamento dei servizi per l'aggiornamento delle liste elettorali, il rilascio dei certificati di iscrizione alle liste elettorali, l'aggiornamento degli albi dei presidenti di seggio e degli scrutatori. Comprende le spese per consultazioni elettorali e popolari.</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10</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RISORSE UMANE</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Amministrazione e funzionamento delle attività a supporto delle politiche generali del personale dell'ente. Comprende le spese: per la programmazione dell'attività di formazione, qualificazione e aggiornamento del personale; per il reclutamento del personale; per la programmazione della dotazione organica, dell'organizzazione del personale e dell'analisi dei fabbisogni di personale; per la gestione della contrattazione collettiva decentrata integrativa e delle relazioni con le organizzazioni sindacali; per il coordinamento delle attività in materia di sicurezza sul lavoro. Non comprende le spese relative al </w:t>
            </w:r>
            <w:r w:rsidRPr="002D7357">
              <w:rPr>
                <w:rFonts w:ascii="Trebuchet MS" w:eastAsia="Times New Roman" w:hAnsi="Trebuchet MS" w:cs="Times New Roman"/>
                <w:sz w:val="16"/>
                <w:szCs w:val="16"/>
              </w:rPr>
              <w:lastRenderedPageBreak/>
              <w:t>personale direttamente imputabili agli specifici programmi di spesa delle diverse missioni.</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lastRenderedPageBreak/>
              <w:t>1</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ALTRI SERVIZI GENERALI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e dei servizi aventi carattere generale di coordinamento amministrativo, di gestione e di controllo per l'ente non riconducibili agli altri programmi di spesa della missione 01 e non attribuibili ad altre specifiche missioni di spesa. Comprende le spese per l'Avvocatura, per le attività di patrocinio e di consulenza legale a favore dell'ente. Comprende le spese per lo sportello polifunzionale al cittadino.</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3</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POLIZIA LOCALE ED AMMINISTRATIVA</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Amministrazione e funzionamento dei servizi di polizia municipale e locale per garantire la sicurezza urbana, anche in collaborazione con altre forze dell'ordine presenti sul territorio. Comprende le spese per le attività di polizia stradale, per la prevenzione e la repressione di comportamenti illeciti tenuti nel territorio di competenza dell'ente. Amministrazione e funzionamento dei servizi di polizia commerciale, in particolare di vigilanza sulle attività commerciali, in relazione alle funzioni </w:t>
            </w:r>
            <w:proofErr w:type="spellStart"/>
            <w:r w:rsidRPr="002D7357">
              <w:rPr>
                <w:rFonts w:ascii="Trebuchet MS" w:eastAsia="Times New Roman" w:hAnsi="Trebuchet MS" w:cs="Times New Roman"/>
                <w:sz w:val="16"/>
                <w:szCs w:val="16"/>
              </w:rPr>
              <w:t>autorizzatorie</w:t>
            </w:r>
            <w:proofErr w:type="spellEnd"/>
            <w:r w:rsidRPr="002D7357">
              <w:rPr>
                <w:rFonts w:ascii="Trebuchet MS" w:eastAsia="Times New Roman" w:hAnsi="Trebuchet MS" w:cs="Times New Roman"/>
                <w:sz w:val="16"/>
                <w:szCs w:val="16"/>
              </w:rPr>
              <w:t xml:space="preserve"> dei settori comunali e dei diversi soggetti competenti. Comprende le spese per il contrasto all'abusivismo su aree pubbliche, per le ispezioni presso attività commerciali anche in collaborazione con altri soggetti istituzionalmente preposti, per il controllo delle attività artigiane, commerciali, degli esercizi pubblici, dei mercati al minuto e all'ingrosso, per la vigilanza sulla regolarità delle forme particolari di vendita. Comprende le spese per i procedimenti in materia di violazioni della relativa normativa e dei regolamenti, multe e sanzioni amministrative e gestione del relativo contenzioso.</w:t>
            </w:r>
          </w:p>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di accertamento di violazioni al codice della strada cui corrispondano comportamenti illeciti di rilevo, che comportano sanzioni amministrative pecuniarie e sanzioni accessorie quali il fermo amministrativo (temporaneo) di autoveicoli e ciclomotori o la misura cautelare del sequestro, propedeutico al definitivo provvedimento di confisca, adottato dal Prefetto. Comprende le spese per l'attività materiale ed istruttoria per la gestione del procedimento di individuazione, verifica, prelievo conferimento, radiazione e smaltimento dei veicoli in stato di abbandono. Non comprende le spese per il funzionamento della polizia provinciale.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4</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ISTRUZIONE E DIRITTO ALLO STUDIO</w:t>
            </w:r>
          </w:p>
        </w:tc>
        <w:tc>
          <w:tcPr>
            <w:tcW w:w="2100" w:type="pct"/>
            <w:vMerge w:val="restar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Comprende la gestione del personale, delle iscrizioni, delle rette, del rapporto con gli utenti, della pulizia e sanificazione degli ambienti, della rilevazione delle presenze degli alunni. Comprende le spese per il sostegno alla formazione e all'aggiornamento del personale insegnante e ausiliario. Comprende le spese per l'edilizia scolastica, per gli acquisti di arredi, gli interventi sugli edifici, gli spazi verdi, le infrastrutture anche tecnologiche e le attrezzature destinate alle scuole dell'infanzia. Comprende le spese a sostegno delle scuole e altre istituzioni pubbliche e private che erogano istruzione prescolastica (scuola dell'infanzia). Comprende le spese per il diritto allo studio e le spese per borse di studio, buoni libro, sovvenzioni, prestiti e indennità a sostegno degli alunni. Non comprende le spese per la gestione, l'organizzazione e il funzionamento dei servizi di asili nido, ricompresi nel programma "Interventi per l'infanzia e per i minori" della missione 12 "Diritti sociali, politiche sociali e </w:t>
            </w:r>
            <w:r w:rsidRPr="002D7357">
              <w:rPr>
                <w:rFonts w:ascii="Trebuchet MS" w:eastAsia="Times New Roman" w:hAnsi="Trebuchet MS" w:cs="Times New Roman"/>
                <w:sz w:val="16"/>
                <w:szCs w:val="16"/>
              </w:rPr>
              <w:lastRenderedPageBreak/>
              <w:t>famiglia". Non comprende le spese per i servizi ausiliari all’istruzione prescolastica (trasporto, refezione, alloggio, assistenza ...).</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4</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2</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 xml:space="preserve">ALTRI ORDINI </w:t>
            </w:r>
            <w:proofErr w:type="spellStart"/>
            <w:r w:rsidRPr="002D7357">
              <w:rPr>
                <w:rFonts w:ascii="Trebuchet MS" w:eastAsia="Times New Roman" w:hAnsi="Trebuchet MS" w:cs="Times New Roman"/>
                <w:sz w:val="16"/>
                <w:szCs w:val="16"/>
              </w:rPr>
              <w:t>DI</w:t>
            </w:r>
            <w:proofErr w:type="spellEnd"/>
            <w:r w:rsidRPr="002D7357">
              <w:rPr>
                <w:rFonts w:ascii="Trebuchet MS" w:eastAsia="Times New Roman" w:hAnsi="Trebuchet MS" w:cs="Times New Roman"/>
                <w:sz w:val="16"/>
                <w:szCs w:val="16"/>
              </w:rPr>
              <w:t xml:space="preserve"> ISTRUZIONE NON UNIVERSITARIA</w:t>
            </w:r>
          </w:p>
        </w:tc>
        <w:tc>
          <w:tcPr>
            <w:tcW w:w="0" w:type="auto"/>
            <w:vMerge/>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after="0" w:line="240" w:lineRule="auto"/>
              <w:rPr>
                <w:rFonts w:ascii="Times New Roman" w:eastAsia="Times New Roman" w:hAnsi="Times New Roman" w:cs="Times New Roman"/>
                <w:sz w:val="24"/>
                <w:szCs w:val="24"/>
              </w:rPr>
            </w:pP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4</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7</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DIRITTO ALLO STUDIO</w:t>
            </w:r>
          </w:p>
        </w:tc>
        <w:tc>
          <w:tcPr>
            <w:tcW w:w="0" w:type="auto"/>
            <w:vMerge/>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after="0" w:line="240" w:lineRule="auto"/>
              <w:rPr>
                <w:rFonts w:ascii="Times New Roman" w:eastAsia="Times New Roman" w:hAnsi="Times New Roman" w:cs="Times New Roman"/>
                <w:sz w:val="24"/>
                <w:szCs w:val="24"/>
              </w:rPr>
            </w:pP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lastRenderedPageBreak/>
              <w:t>5</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 xml:space="preserve">VALORIZZAZIONE DEI BENI </w:t>
            </w:r>
            <w:proofErr w:type="spellStart"/>
            <w:r w:rsidRPr="002D7357">
              <w:rPr>
                <w:rFonts w:ascii="Trebuchet MS" w:eastAsia="Times New Roman" w:hAnsi="Trebuchet MS" w:cs="Times New Roman"/>
                <w:sz w:val="16"/>
                <w:szCs w:val="16"/>
              </w:rPr>
              <w:t>DI</w:t>
            </w:r>
            <w:proofErr w:type="spellEnd"/>
            <w:r w:rsidRPr="002D7357">
              <w:rPr>
                <w:rFonts w:ascii="Trebuchet MS" w:eastAsia="Times New Roman" w:hAnsi="Trebuchet MS" w:cs="Times New Roman"/>
                <w:sz w:val="16"/>
                <w:szCs w:val="16"/>
              </w:rPr>
              <w:t xml:space="preserve"> INTERESSE STORICO</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per il sostegno, la ristrutturazione e la manutenzione di strutture di interesse storico e artistico (monumenti, edifici e luoghi di interesse storico, patrimonio archeologico e architettonico, luoghi di culto). Comprende le spese per la conservazione, la tutela e il restauro del patrimonio archeologico, storico ed artistico, anche in cooperazione con gli altri organi, statali, regionali e territoriali, competenti. Comprende le spese per la ricerca storica e artistica correlata ai beni archeologici, storici ed artistici dell'ente, e per le attività di realizzazione di iniziative volte alla promozione, all'educazione e alla divulgazione in materia di patrimonio storico e artistico dell'ente. Comprende le spese per la valorizzazione, la manutenzione straordinaria, la ristrutturazione e il restauro di biblioteche, pinacoteche, musei, gallerie d’arte, teatri e luoghi di culto se di valore e interesse storico.</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5</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2</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ATTIVITA' CULTURALI ED INTERVENTI CULTURALI DIVERSI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culturali, per la vigilanza e la regolamentazione delle strutture culturali, per il funzionamento o il sostegno alle strutture con finalità culturali (biblioteche, musei, gallerie d’arte, teatri, sale per esposizioni, giardini zoologici e orti botanici, acquari, arboreti, ecc.). Qualora tali strutture siano connotate da un prevalente interesse storico, le relative spese afferiscono al programma Valorizzazione dei beni di interesse storico. Comprende le spese per la promozione, lo sviluppo e il coordinamento delle biblioteche comunali. Comprende le spese per la valorizzazione, l'implementazione e la trasformazione degli spazi museali, della progettazione definitiva ed esecutiva e direzione lavori inerenti gli edifici a vocazione museale e relativi uffici (messa a norma, manutenzione straordinaria, ristrutturazione, restauro). Comprende le spese per la realizzazione, il funzionamento o il sostegno a manifestazioni culturali (concerti, produzioni teatrali e cinematografiche, mostre d’arte, ecc.), inclusi sovvenzioni, prestiti o sussidi a sostegno degli operatori diversi che operano nel settore artistico o culturale, o delle organizzazioni impegnate nella promozione delle attività culturali e artistiche. Comprende le spese per sovvenzioni per i giardini e i musei zoologici. Comprende le spese per gli interventi per il sostegno alle attività e alle strutture dedicate al culto, se non di valore e interesse storico. Comprende le spese per la programmazione, l'attivazione e il coordinamento sul territorio di programmi strategici in ambito culturale finanziati anche con il concorso delle risorse comunitarie. Comprende le spese per la tutela delle minoranze linguistiche se non attribuibili a specifici settori d'intervento. Comprende le spese per il finanziamento degli istituti di culto. Non comprende le spese per le attività culturali e artistiche aventi prioritariamente finalità turistiche. Non comprende le spese per le attività ricreative e sportive.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6</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SPORT E TEMPO LIBERO</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infrastrutture destinati alle attività sportive (stadi, palazzo dello sport...). Comprende le spese per iniziative e manifestazioni sportive e per le attività di promozione sportiva in collaborazione con le associazioni sportive locali, con il CONI e con altre istituzioni, anche al fine di promuovere la pratica sportiva. Non comprende le spese destinate alle </w:t>
            </w:r>
            <w:r w:rsidRPr="002D7357">
              <w:rPr>
                <w:rFonts w:ascii="Trebuchet MS" w:eastAsia="Times New Roman" w:hAnsi="Trebuchet MS" w:cs="Times New Roman"/>
                <w:sz w:val="16"/>
                <w:szCs w:val="16"/>
              </w:rPr>
              <w:lastRenderedPageBreak/>
              <w:t>iniziative a favore dei giovani, ricompresi nel programma "Giovani" della medesima missione.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lastRenderedPageBreak/>
              <w:t>8</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URBANISTICA ED ASSETTO DEL TERRITORIO</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e dei servizi relativi all'urbanistica e alla programmazione dell'assetto territoriale. Comprende le spese per l'amministrazione dei piani regolatori, piani urbanistici, piani di zona e dell’utilizzo dei terreni e dei regolamenti edilizi. Comprende le spese per la pianificazione di zone di insediamento nuove o ripristinate, per la pianificazione del miglioramento e dello sviluppo di strutture quali alloggi, industrie, servizi pubblici, sanità, istruzione, cultura, strutture ricreative, ecc. a beneficio della collettività, per la predisposizione di progetti di finanziamento per gli sviluppi pianificati e di riqualificazione urbana, per la pianificazione delle opere di urbanizzazione. Comprende le spese per l'arredo urbano e per la manutenzione e il miglioramento qualitativo degli spazi pubblici esistenti (piazze, aree pedonali..). Non comprende le spese per la gestione del servizio dello sportello unico per l'edilizia incluse nel programma "Edilizia residenziale pubblica" della medesima missione.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8</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2</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EDILIZIA RESIDENZIALE E PUBBLICA</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e dei servizi relativi allo sviluppo delle abitazioni. Comprende le spese: per la promozione, il monitoraggio e la valutazione delle attività di sviluppo abitativo, per lo sviluppo e la regolamentazione degli standard edilizi; gli interventi di edilizia pubblica abitativa e di edilizia economico-popolare, sovvenzionata, agevolata e convenzionata; per l'acquisizione di terreni per la costruzione di abitazioni; per la costruzione o l'acquisto e la ristrutturazione di unità abitative, destinate anche all'incremento dell'offerta di edilizia sociale abitativa. Comprende le spese per le sovvenzioni, i prestiti o i sussidi a sostegno dell’espansione, del miglioramento o della manutenzione delle abitazioni. Comprende le spese per la razionalizzazione e la valorizzazione del patrimonio di edilizia residenziale pubblica. Comprende le spese per la gestione del servizio dello sportello unico per l'edilizia residenziale. Non comprende le spese per le indennità in denaro o in natura dirette alle famiglie per sostenere le spese di alloggio che rientrano nel programma "Interventi per le famiglie" della missione 12 "Diritti sociali, politiche sociali e famiglia".</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9</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DIFESA DEL SUOLO</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Amministrazione e funzionamento delle attività per la tutela e la salvaguardia del territorio, dei fiumi, dei canali e dei collettori idrici, degli specchi lacuali, delle lagune, della fascia costiera, delle acque sotterranee, finalizzate alla riduzione del rischio idraulico, alla stabilizzazione dei fenomeni di dissesto idrogeologico, alla gestione e all'ottimizzazione dell'uso del demanio idrico, alla difesa dei litorali, alla gestione e sicurezza degli invasi, alla difesa dei versanti e delle aree a rischio frana, al monitoraggio del rischio sismico. Comprende le spese per i piani di bacino, i piani per l'assetto idrogeologico, i piani straordinari per le aree a rischio idrogeologico. Comprende le spese per la predisposizione dei sistemi di cartografia (geologica, </w:t>
            </w:r>
            <w:proofErr w:type="spellStart"/>
            <w:r w:rsidRPr="002D7357">
              <w:rPr>
                <w:rFonts w:ascii="Trebuchet MS" w:eastAsia="Times New Roman" w:hAnsi="Trebuchet MS" w:cs="Times New Roman"/>
                <w:sz w:val="16"/>
                <w:szCs w:val="16"/>
              </w:rPr>
              <w:t>geo-tematica</w:t>
            </w:r>
            <w:proofErr w:type="spellEnd"/>
            <w:r w:rsidRPr="002D7357">
              <w:rPr>
                <w:rFonts w:ascii="Trebuchet MS" w:eastAsia="Times New Roman" w:hAnsi="Trebuchet MS" w:cs="Times New Roman"/>
                <w:sz w:val="16"/>
                <w:szCs w:val="16"/>
              </w:rPr>
              <w:t xml:space="preserve"> e dei suoli) e del sistema informativo territoriale (banche dati geologica e dei suoli, sistema informativo geografico della costa). Comprende le spese per la programmazione, il coordinamento e il monitoraggio delle relative politiche sul territorio anche in raccordo con la programmazione dei finanziamenti comunitari e </w:t>
            </w:r>
            <w:r w:rsidRPr="002D7357">
              <w:rPr>
                <w:rFonts w:ascii="Trebuchet MS" w:eastAsia="Times New Roman" w:hAnsi="Trebuchet MS" w:cs="Times New Roman"/>
                <w:sz w:val="16"/>
                <w:szCs w:val="16"/>
              </w:rPr>
              <w:lastRenderedPageBreak/>
              <w:t>statali.</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lastRenderedPageBreak/>
              <w:t>9</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2</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TUTELA VALORIZZAZIONE E RECUPERO AMBIENTALE</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collegate alla tutela, alla valorizzazione e al recupero dell’ambiente naturale. Comprende le spese per il recupero di miniere e cave abbandonate. Comprende le spese per sovvenzioni, prestiti o sussidi a sostegno delle attività degli enti e delle associazioni che operano per la tutela dell'ambiente. Comprende le spese per la formulazione, l'amministrazione, il coordinamento e il monitoraggio delle politiche, dei piani e dei programmi destinati alla promozione della tutela dell'ambiente, inclusi gli interventi per l'educazione ambientale. Comprende le spese per la valutazione di impatto ambientale di piani e progetti e per la predisposizione di standard ambientali per la fornitura di servizi. Comprende le spese a favore dello sviluppo sostenibile in materia ambientale, da cui sono esclusi gli interventi per la promozione del turismo sostenibile e per lo sviluppo delle energie rinnovabili. Comprende le spese per sovvenzioni, prestiti o sussidi a sostegno delle attività, degli enti e delle associazioni che operano a favore dello sviluppo sostenibile (ad esclusione del turismo ambientale e delle energie rinnovabili). Comprende le spese per la programmazione, il coordinamento e il monitoraggio delle relative politiche sul territorio anche in raccordo con la programmazione dei finanziamenti comunitari e statali. Comprende le spese per la manutenzione e la tutela del verde urbano. Non comprende le spese per la gestione di parchi e riserve naturali e per la protezione delle biodiversità e dei beni paesaggistici, ricomprese nel programma "Aree protette, parchi naturali, protezione naturalistica e forestazione" della medesima missione. Comprende le spese per la polizia provinciale in materia ambientale. Non comprende le spese per la tutela e la valorizzazione delle risorse idriche ricomprese nel corrispondente programma della medesima missione.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9</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3</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RIFIUTI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vigilanza, ispezione, funzionamento o supporto alla raccolta, al trattamento e ai sistemi di smaltimento dei rifiuti. Comprende le spese per la pulizia delle strade, delle piazze, viali, mercati, per la raccolta di tutti i tipi di rifiuti, differenziata e indifferenziata, per il trasporto in discarica o al luogo di trattamento. Comprende le spese per sovvenzioni, prestiti o sussidi a sostegno del funzionamento, della costruzione, della manutenzione o del miglioramento dei sistemi di raccolta, trattamento e smaltimento dei rifiuti, ivi compresi i contratti di servizio e di programma con le aziende per i servizi di igiene ambientale. Comprende le spese per i canoni del servizio di igiene ambientale.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9</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4</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SERVIZIO IDRICO INTEGRATO</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Amministrazione e funzionamento delle attività relative all’approvvigionamento idrico, delle attività di vigilanza e regolamentazione per la fornitura di acqua potabile inclusi i controlli sulla purezza, sulle tariffe e sulla quantità dell’acqua. Comprende le spese per la costruzione o il funzionamento dei sistemi di fornitura dell’acqua diversi da quelli utilizzati per l’industria. Comprende le spese per sovvenzioni, prestiti o sussidi a sostegno del funzionamento, della costruzione, del mantenimento o del miglioramento dei sistemi di approvvigionamento idrico. Comprende le spese per le prestazioni per la fornitura di acqua ad uso pubblico e la manutenzione degli impianti idrici. Amministrazione e funzionamento dei sistemi delle acque reflue e per il loro trattamento. Comprende le spese per la gestione e la costruzione dei sistemi di collettori, condutture, </w:t>
            </w:r>
            <w:r w:rsidRPr="002D7357">
              <w:rPr>
                <w:rFonts w:ascii="Trebuchet MS" w:eastAsia="Times New Roman" w:hAnsi="Trebuchet MS" w:cs="Times New Roman"/>
                <w:sz w:val="16"/>
                <w:szCs w:val="16"/>
              </w:rPr>
              <w:lastRenderedPageBreak/>
              <w:t>tubazioni e pompe per smaltire tutti i tipi di acque reflue (acqua piovana, domestica e qualsiasi altro tipo di acque reflue. Comprende le spese per i processi meccanici, biologici o avanzati per soddisfare gli standard ambientali o le altre norme qualitative per le acque reflue. Amministrazione, vigilanza, ispezione, funzionamento, supporto ai sistemi delle acque reflue ed al loro smaltimento. Comprende le spese per sovvenzioni, prestiti, sussidi a sostegno del funzionamento, della costruzione, della manutenzione o del miglioramento dei sistemi delle acque reflue.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lastRenderedPageBreak/>
              <w:t>9</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5</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AREE PROTETTE, PARCHI NATURALI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10</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2</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TRASPORTO PUBBLICO LOCALE</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10</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5</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VIABILITA' E INFRASTRUTTURE STRADALI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per la viabilità e lo sviluppo e il miglioramento della circolazione stradale. Comprende le spese per il funzionamento, la gestione, l'utilizzo, la costruzione e la manutenzione, ordinaria e straordinaria, delle strade e delle vie urbane, di percorsi ciclabili e pedonali, delle zone a traffico limitato, delle strutture di parcheggio e delle aree di sosta a pagamento. Comprende le spese per la riqualificazione delle strade, incluso l'abbattimento delle barriere architettoniche. Comprende le spese per la sorveglianza e la presa in carico delle opere previste dai piani attuativi di iniziativa privata o convenzioni urbanistiche. Comprende le spese per il rilascio delle autorizzazioni per la circolazione nelle zone a traffico limitato, per i passi carrai. Comprende le spese per gli impianti semaforici. Comprende altresì le spese per le infrastrutture stradali, tra cui per strade extraurbane e autostrade. Amministrazione e funzionamento delle attività relative all’illuminazione stradale. Comprende le spese per lo sviluppo e la regolamentazione degli standard di illuminazione stradale, per l'installazione, il funzionamento, la manutenzione, il miglioramento, ecc. dell’illuminazione stradale.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12</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2</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INTERVENTI PER LA DISABILITA'</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per l'erogazione di servizi e il sostegno a interventi per le persone inabili, in tutto o in parte, a svolgere attività economiche o a condurre una vita normale a causa di danni fisici o mentali, a carattere permanente o che si protraggono oltre un periodo di tempo minimo stabilito. Comprende le spese a favore dei soggetti (pubblici e privati) che operano in tale ambito. Comprende le spese per indennità in danaro a favore di persone disabili, quali indennità di cura. Comprende le spese per alloggio ed eventuale vitto a favore di invalidi presso istituti idonei, per assistenza per invalidi nelle incombenze quotidiane (aiuto domestico, mezzi di trasporto, ecc.), per indennità erogate a favore di persone che si prendono cura di invalidi, per beni e servizi di vario genere erogati a favore di invalidi per consentire loro la partecipazione ad attività culturali, di svago, di viaggio o di vita collettiva. Comprende le spese per la costruzione e la gestione di strutture dedicate alle persone disabili. Comprende le spese per la formazione professionale o per favorire il reinserimento occupazionale e sociale dei disabili.</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12</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3</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INTERVENTI PER GLI ANZIANI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Amministrazione e funzionamento delle attività per l'erogazione di servizi e il sostegno a interventi a favore degli anziani. Comprende le spese per interventi contro i rischi collegati alla vecchiaia (perdita di reddito, reddito insufficiente, perdita dell’autonomia nello svolgere le incombenze </w:t>
            </w:r>
            <w:r w:rsidRPr="002D7357">
              <w:rPr>
                <w:rFonts w:ascii="Trebuchet MS" w:eastAsia="Times New Roman" w:hAnsi="Trebuchet MS" w:cs="Times New Roman"/>
                <w:sz w:val="16"/>
                <w:szCs w:val="16"/>
              </w:rPr>
              <w:lastRenderedPageBreak/>
              <w:t>quotidiane, ridotta partecipazione alla vita sociale e collettiva, ecc.). Comprende le spese a favore dei soggetti (pubblici e privati) che operano in tale ambito. Comprende le spese per indennità in danaro, quali indennità di cura, e finanziamenti erogati in seguito a pensionamento o vecchiaia, per l'assistenza nelle incombenze quotidiane (aiuto domestico, mezzi di trasporto, ecc.), per indennità a favore di persone che si prendono cura di persone anziane, per beni e servizi di vario genere erogati a favore di persone anziane per consentire la partecipare ad attività culturali, di svago, di viaggio, o di vita collettiva. Comprende le spese per interventi, servizi e strutture mirati a migliorare la qualità della vita delle persone anziane, nonché a favorire la loro mobilità, l'integrazione sociale e lo svolgimento delle funzioni primarie. Comprende le spese per le strutture residenziali e di ricovero per gli anziani.</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lastRenderedPageBreak/>
              <w:t>12</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4</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 xml:space="preserve">INTERVENTI A SOGGETTI A RISCHIO </w:t>
            </w:r>
            <w:proofErr w:type="spellStart"/>
            <w:r w:rsidRPr="002D7357">
              <w:rPr>
                <w:rFonts w:ascii="Trebuchet MS" w:eastAsia="Times New Roman" w:hAnsi="Trebuchet MS" w:cs="Times New Roman"/>
                <w:sz w:val="16"/>
                <w:szCs w:val="16"/>
              </w:rPr>
              <w:t>DI</w:t>
            </w:r>
            <w:proofErr w:type="spellEnd"/>
            <w:r w:rsidRPr="002D7357">
              <w:rPr>
                <w:rFonts w:ascii="Trebuchet MS" w:eastAsia="Times New Roman" w:hAnsi="Trebuchet MS" w:cs="Times New Roman"/>
                <w:sz w:val="16"/>
                <w:szCs w:val="16"/>
              </w:rPr>
              <w:t xml:space="preserve"> ESCLUSIONE SOCIALE</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per l'erogazione di servizi e il sostegno a interventi a favore di persone socialmente svantaggiate o a rischio di esclusione sociale. Comprende le spese a favore di persone indigenti, persone a basso reddito, emigrati ed immigrati, profughi, alcolisti, tossicodipendenti, vittime di violenza criminale, detenuti. Comprende le spese a favore dei soggetti (pubblici e privati) che operano in tale ambito. Comprende le spese per indennità in denaro a favore di soggetti indigenti e socialmente deboli, quali sostegno al reddito e altri pagamenti destinati ad alleviare lo stato di povertà degli stessi o per assisterli in situazioni di difficoltà. Comprende le spese per sistemazioni e vitto a breve o a lungo termine forniti a favore di soggetti indigenti e socialmente deboli, per la riabilitazione di alcolisti e tossicodipendenti, per beni e servizi a favore di persone socialmente deboli quali servizi di consultorio, ricovero diurno, assistenza nell’adempimento di incombenze quotidiane, cibo, indumenti, carburante, ecc.. Comprende le spese per la costruzione e la gestione di strutture dedicate alle persone a rischio di esclusione sociale.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12</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6</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INTERVENTI PER IL DIRITTO ALLA CASA</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per il sostegno al diritto alla casa. Comprende le spese per l'aiuto alle famiglie ad affrontare i costi per l’alloggio a sostegno delle spese di fitto e delle spese correnti per la casa, quali sussidi per il pagamento di ipoteche e interessi sulle case di proprietà e assegnazione di alloggi economici o popolari. Comprende le spese a favore dei soggetti (pubblici e privati) che operano in tale ambito. Non comprende le spese per la progettazione, la costruzione e la manutenzione degli alloggi di edilizia residenziale pubblica, ricomprese nel programma "" della missione 08 "Assetto del territorio ed edilizia abitativa".</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13</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7</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ULTERIORI SPESE IN MATERIA SANITARIA</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Amministrazione e funzionamento delle attività per la formulazione, l’amministrazione, il coordinamento e il monitoraggio delle politiche, dei piani, dei programmi socio-assistenziali sul territorio, anche in raccordo con la programmazione e i finanziamenti comunitari e statali. Comprende le spese per la predisposizione e attuazione della legislazione e della normativa in materia sociale. Comprende le spese a sostegno del le politiche sociali che non sono direttamente riferibili agli altri programmi della medesima missione.</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17</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ENERGIA E DIVERSIFICAZIONE FONTI ENERGETICHE</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 xml:space="preserve">Amministrazione e funzionamento delle attività e servizi relativi all'impiego delle fonti energetiche, incluse l'energia elettrica e il gas naturale. Comprende </w:t>
            </w:r>
            <w:r w:rsidRPr="002D7357">
              <w:rPr>
                <w:rFonts w:ascii="Trebuchet MS" w:eastAsia="Times New Roman" w:hAnsi="Trebuchet MS" w:cs="Times New Roman"/>
                <w:sz w:val="16"/>
                <w:szCs w:val="16"/>
              </w:rPr>
              <w:lastRenderedPageBreak/>
              <w:t>le spese per sovvenzioni, prestiti o sussidi per promuovere l’utilizzo delle fonti energetiche e delle fonti rinnovabili di energia. Comprende le spese per lo sviluppo, la produzione e la distribuzione dell’energia elettrica, del gas naturale e delle risorse energetiche geotermiche, eolica e solare, nonché le spese per la razionalizzazione e lo sviluppo delle relative infrastrutture e reti energetiche. Comprende le spese per la redazione di piani energetici e per i contributi alla realizzazione di interventi in materia di risparmio energetico. Comprende le spese derivanti dall'affidamento della gestione di pubblici servizi inerenti l'impiego del gas naturale e dell’energia elettrica. Comprende le spese per la programmazione, il coordinamento e il monitoraggio delle relative politiche sul territorio anche in raccordo con la programmazione e i finanziamenti comunitari e statali.</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lastRenderedPageBreak/>
              <w:t>20</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FONDI E ACCANTONAMENTI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Comprende fondo di riserva, fondo di riserva di cassa, fondo crediti di dubbia esigibilità</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50</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QUOTI INTERESSI AMMORTAMENTO MUTUI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Spese sostenute per il pagamento degli interessi relativi alle risorse finanziarie acquisite dall'ente mediante l'emissione di titoli obbligazionari, prestiti a breve termine, mutui e finanziamenti a medio e lungo termine e altre forme di indebitamento e relative spese accessorie. Non comprende le spese relative alle rispettive quote capitali, ricomprese nel programma "Quota capitale ammortamento mutui e prestiti obbligazionari" della medesima missione. Non comprende le spese per interessi per le anticipazioni di tesoreria, ricomprese nella missione 60 "Anticipazioni finanziarie". Non comprende le spese per interessi riferite al rimborso del debito legato a specifici settori che vanno classificate nelle rispettive missioni.</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50</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2</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QUOTA CAPITALE AMMORTAMENTO MUTUI</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Spese sostenute per la restituzione delle risorse finanziarie relative alle quote di capitale acquisite dall'ente mediante titoli obbligazionari, prestiti a breve termine, mutui e finanziamenti a medio e lungo termine e altre forme di indebitamento e relative spese accessorie. Comprende le spese per la chiusura di anticipazioni straordinarie ottenute dall'istituto cassiere. Non comprende le spese relative agli interessi, ricomprese nel programma "Quota interessi ammortamento mutui e prestiti obbligazionari" della medesima missione. Non comprende le spese per le quote di capitale riferite al rimborso del debito legato a specifici settori che vanno classificate nelle rispettive missioni.</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60</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 xml:space="preserve">RESTITUZIONI ANTICIPAZIONI </w:t>
            </w:r>
            <w:proofErr w:type="spellStart"/>
            <w:r w:rsidRPr="002D7357">
              <w:rPr>
                <w:rFonts w:ascii="Trebuchet MS" w:eastAsia="Times New Roman" w:hAnsi="Trebuchet MS" w:cs="Times New Roman"/>
                <w:sz w:val="16"/>
                <w:szCs w:val="16"/>
              </w:rPr>
              <w:t>DI</w:t>
            </w:r>
            <w:proofErr w:type="spellEnd"/>
            <w:r w:rsidRPr="002D7357">
              <w:rPr>
                <w:rFonts w:ascii="Trebuchet MS" w:eastAsia="Times New Roman" w:hAnsi="Trebuchet MS" w:cs="Times New Roman"/>
                <w:sz w:val="16"/>
                <w:szCs w:val="16"/>
              </w:rPr>
              <w:t xml:space="preserve"> TESORERIA</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imes New Roman" w:eastAsia="Times New Roman" w:hAnsi="Times New Roman" w:cs="Times New Roman"/>
                <w:sz w:val="24"/>
                <w:szCs w:val="24"/>
              </w:rPr>
            </w:pPr>
            <w:r w:rsidRPr="002D7357">
              <w:rPr>
                <w:rFonts w:ascii="Trebuchet MS" w:eastAsia="Times New Roman" w:hAnsi="Trebuchet MS" w:cs="Times New Roman"/>
                <w:sz w:val="16"/>
                <w:szCs w:val="16"/>
              </w:rPr>
              <w:t>Spese sostenute per la restituzione delle risorse finanziarie anticipate dall'Istituto di credito che svolge il servizio di tesoreria, per fare fronte a momentanee esigenze di liquidità. Sono incluse le connesse spese per interessi contabilizzate nel titolo 1 della spesa.</w:t>
            </w:r>
          </w:p>
        </w:tc>
      </w:tr>
      <w:tr w:rsidR="002D7357" w:rsidRPr="002D7357" w:rsidTr="002D7357">
        <w:trPr>
          <w:tblCellSpacing w:w="0" w:type="dxa"/>
        </w:trPr>
        <w:tc>
          <w:tcPr>
            <w:tcW w:w="35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99</w:t>
            </w:r>
          </w:p>
        </w:tc>
        <w:tc>
          <w:tcPr>
            <w:tcW w:w="4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1</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r w:rsidRPr="002D7357">
              <w:rPr>
                <w:rFonts w:ascii="Trebuchet MS" w:eastAsia="Times New Roman" w:hAnsi="Trebuchet MS" w:cs="Times New Roman"/>
                <w:sz w:val="16"/>
                <w:szCs w:val="16"/>
              </w:rPr>
              <w:t xml:space="preserve">SERVIZI CONTO TERZI PARTITE </w:t>
            </w:r>
            <w:proofErr w:type="spellStart"/>
            <w:r w:rsidRPr="002D7357">
              <w:rPr>
                <w:rFonts w:ascii="Trebuchet MS" w:eastAsia="Times New Roman" w:hAnsi="Trebuchet MS" w:cs="Times New Roman"/>
                <w:sz w:val="16"/>
                <w:szCs w:val="16"/>
              </w:rPr>
              <w:t>DI</w:t>
            </w:r>
            <w:proofErr w:type="spellEnd"/>
            <w:r w:rsidRPr="002D7357">
              <w:rPr>
                <w:rFonts w:ascii="Trebuchet MS" w:eastAsia="Times New Roman" w:hAnsi="Trebuchet MS" w:cs="Times New Roman"/>
                <w:sz w:val="16"/>
                <w:szCs w:val="16"/>
              </w:rPr>
              <w:t xml:space="preserve"> GIRO</w:t>
            </w:r>
          </w:p>
        </w:tc>
        <w:tc>
          <w:tcPr>
            <w:tcW w:w="2100" w:type="pct"/>
            <w:tcBorders>
              <w:top w:val="outset" w:sz="6" w:space="0" w:color="000000"/>
              <w:left w:val="outset" w:sz="6" w:space="0" w:color="000000"/>
              <w:bottom w:val="outset" w:sz="6" w:space="0" w:color="000000"/>
              <w:right w:val="outset" w:sz="6" w:space="0" w:color="000000"/>
            </w:tcBorders>
            <w:hideMark/>
          </w:tcPr>
          <w:p w:rsidR="002D7357" w:rsidRPr="002D7357" w:rsidRDefault="002D7357" w:rsidP="002D7357">
            <w:pPr>
              <w:spacing w:before="100" w:beforeAutospacing="1" w:after="0" w:line="240" w:lineRule="auto"/>
              <w:rPr>
                <w:rFonts w:ascii="Trebuchet MS" w:eastAsia="Times New Roman" w:hAnsi="Trebuchet MS" w:cs="Times New Roman"/>
                <w:sz w:val="16"/>
                <w:szCs w:val="16"/>
              </w:rPr>
            </w:pPr>
          </w:p>
        </w:tc>
      </w:tr>
    </w:tbl>
    <w:p w:rsidR="00A46E35" w:rsidRDefault="00A46E35" w:rsidP="00A46E35">
      <w:pPr>
        <w:autoSpaceDE w:val="0"/>
        <w:autoSpaceDN w:val="0"/>
        <w:adjustRightInd w:val="0"/>
        <w:spacing w:before="113" w:after="227" w:line="240" w:lineRule="auto"/>
        <w:rPr>
          <w:rFonts w:ascii="Calibri" w:hAnsi="Calibri" w:cs="Calibri"/>
        </w:rPr>
      </w:pPr>
    </w:p>
    <w:p w:rsidR="002D7357" w:rsidRDefault="002D7357" w:rsidP="00A46E35">
      <w:pPr>
        <w:autoSpaceDE w:val="0"/>
        <w:autoSpaceDN w:val="0"/>
        <w:adjustRightInd w:val="0"/>
        <w:spacing w:before="113" w:after="227" w:line="240" w:lineRule="auto"/>
        <w:rPr>
          <w:rFonts w:ascii="Calibri" w:hAnsi="Calibri" w:cs="Calibri"/>
        </w:rPr>
      </w:pPr>
    </w:p>
    <w:p w:rsidR="002D7357" w:rsidRDefault="002D7357" w:rsidP="00A46E35">
      <w:pPr>
        <w:autoSpaceDE w:val="0"/>
        <w:autoSpaceDN w:val="0"/>
        <w:adjustRightInd w:val="0"/>
        <w:spacing w:before="113" w:after="227" w:line="240" w:lineRule="auto"/>
        <w:rPr>
          <w:rFonts w:ascii="Calibri" w:hAnsi="Calibri" w:cs="Calibri"/>
        </w:rPr>
      </w:pPr>
    </w:p>
    <w:p w:rsidR="002D7357" w:rsidRDefault="002D7357" w:rsidP="00A46E35">
      <w:pPr>
        <w:autoSpaceDE w:val="0"/>
        <w:autoSpaceDN w:val="0"/>
        <w:adjustRightInd w:val="0"/>
        <w:spacing w:before="113" w:after="227" w:line="240" w:lineRule="auto"/>
        <w:rPr>
          <w:rFonts w:ascii="Calibri" w:hAnsi="Calibri" w:cs="Calibri"/>
        </w:rPr>
      </w:pPr>
    </w:p>
    <w:p w:rsidR="002D7357" w:rsidRDefault="002D7357" w:rsidP="00A46E35">
      <w:pPr>
        <w:autoSpaceDE w:val="0"/>
        <w:autoSpaceDN w:val="0"/>
        <w:adjustRightInd w:val="0"/>
        <w:spacing w:before="113" w:after="227" w:line="240" w:lineRule="auto"/>
        <w:rPr>
          <w:rFonts w:ascii="Calibri" w:hAnsi="Calibri" w:cs="Calibri"/>
        </w:rPr>
      </w:pPr>
    </w:p>
    <w:p w:rsidR="00A46E35" w:rsidRDefault="00A46E35" w:rsidP="00A46E35">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Obiettivi finanziari per missione e programma</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Vengono ora riportati gli stanziamenti previsti per il triennio per ciascuna missione e programma.</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Ogni riga riporta il </w:t>
      </w:r>
      <w:proofErr w:type="spellStart"/>
      <w:r>
        <w:rPr>
          <w:rFonts w:ascii="Trebuchet MS" w:hAnsi="Trebuchet MS" w:cs="Trebuchet MS"/>
          <w:sz w:val="21"/>
          <w:szCs w:val="21"/>
        </w:rPr>
        <w:t>cronoprogramma</w:t>
      </w:r>
      <w:proofErr w:type="spellEnd"/>
      <w:r>
        <w:rPr>
          <w:rFonts w:ascii="Trebuchet MS" w:hAnsi="Trebuchet MS" w:cs="Trebuchet MS"/>
          <w:sz w:val="21"/>
          <w:szCs w:val="21"/>
        </w:rPr>
        <w:t xml:space="preserve"> dell'impegno economico previsto per la realizzazione di ciascuna missione distinguendo, per ciascun anno, quanto effettivamente sarà speso nell'anno e quanto sarà destinato agli anni successivi (Fondo Pluriennale Vincolato).</w:t>
      </w:r>
    </w:p>
    <w:p w:rsidR="00A46E35" w:rsidRDefault="00A46E35" w:rsidP="00A46E35">
      <w:pPr>
        <w:autoSpaceDE w:val="0"/>
        <w:autoSpaceDN w:val="0"/>
        <w:adjustRightInd w:val="0"/>
        <w:spacing w:after="0" w:line="360" w:lineRule="auto"/>
        <w:ind w:firstLine="539"/>
        <w:rPr>
          <w:rFonts w:ascii="Calibri" w:hAnsi="Calibri" w:cs="Calibri"/>
        </w:rPr>
      </w:pPr>
    </w:p>
    <w:p w:rsidR="00A46E35" w:rsidRDefault="00A46E35" w:rsidP="00A46E35">
      <w:pPr>
        <w:autoSpaceDE w:val="0"/>
        <w:autoSpaceDN w:val="0"/>
        <w:adjustRightInd w:val="0"/>
        <w:spacing w:before="113" w:after="227" w:line="240" w:lineRule="auto"/>
        <w:rPr>
          <w:rFonts w:ascii="Trebuchet MS" w:hAnsi="Trebuchet MS" w:cs="Trebuchet MS"/>
          <w:color w:val="000000"/>
          <w:sz w:val="28"/>
          <w:szCs w:val="28"/>
          <w:highlight w:val="white"/>
        </w:rPr>
      </w:pPr>
      <w:r>
        <w:rPr>
          <w:rFonts w:ascii="Trebuchet MS" w:hAnsi="Trebuchet MS" w:cs="Trebuchet MS"/>
          <w:color w:val="000000"/>
          <w:sz w:val="28"/>
          <w:szCs w:val="28"/>
          <w:highlight w:val="white"/>
        </w:rPr>
        <w:t>Parte corrente per missione e programma</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780"/>
        <w:gridCol w:w="997"/>
        <w:gridCol w:w="1392"/>
        <w:gridCol w:w="1188"/>
        <w:gridCol w:w="1189"/>
        <w:gridCol w:w="1189"/>
        <w:gridCol w:w="1190"/>
        <w:gridCol w:w="1190"/>
        <w:gridCol w:w="1007"/>
      </w:tblGrid>
      <w:tr w:rsidR="003A0A99" w:rsidRPr="003A0A99" w:rsidTr="003A0A99">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Missione</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Programma</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 xml:space="preserve">Previsioni definitive </w:t>
            </w:r>
            <w:proofErr w:type="spellStart"/>
            <w:r w:rsidRPr="003A0A99">
              <w:rPr>
                <w:rFonts w:ascii="Trebuchet MS" w:eastAsia="Times New Roman" w:hAnsi="Trebuchet MS" w:cs="Times New Roman"/>
                <w:b/>
                <w:bCs/>
                <w:sz w:val="16"/>
                <w:szCs w:val="16"/>
              </w:rPr>
              <w:t>eser.precedente</w:t>
            </w:r>
            <w:proofErr w:type="spellEnd"/>
          </w:p>
        </w:tc>
        <w:tc>
          <w:tcPr>
            <w:tcW w:w="1250" w:type="pct"/>
            <w:gridSpan w:val="2"/>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2018</w:t>
            </w:r>
          </w:p>
        </w:tc>
        <w:tc>
          <w:tcPr>
            <w:tcW w:w="1250" w:type="pct"/>
            <w:gridSpan w:val="2"/>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2019</w:t>
            </w:r>
          </w:p>
        </w:tc>
        <w:tc>
          <w:tcPr>
            <w:tcW w:w="1250" w:type="pct"/>
            <w:gridSpan w:val="2"/>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2020</w:t>
            </w:r>
          </w:p>
        </w:tc>
      </w:tr>
      <w:tr w:rsidR="003A0A99" w:rsidRPr="003A0A99" w:rsidTr="003A0A99">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Previsioni</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Di cui Fondo pluriennale vincolato</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Previsioni</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Di cui Fondo pluriennale vincolato</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Previsioni</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Di cui Fondo pluriennale vincolato</w:t>
            </w:r>
          </w:p>
        </w:tc>
      </w:tr>
      <w:tr w:rsidR="003A0A99" w:rsidRPr="003A0A99" w:rsidTr="003A0A99">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14.300,00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9.360,00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7.360,00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7.360,00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399.278,15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313.771,56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306.371,56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306.371,56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248.668,93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207.918,87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201.646,09</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201.646,09</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32.320,00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16.760,00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16.760,00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16.760,00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5.332,85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5.182,58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5.026,86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5.026,86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385.454,55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369.837,00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363.837,00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363.837,00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67.013,00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66.513,00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66.513,00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66.513,00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81.867,49</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68.882,32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68.882,32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68.882,32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80.903,15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72.243,30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71.243,30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71.243,30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67.309,00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67.508,00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67.508,00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67.508,00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17.820,00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10.865,98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8.520,00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8.520,00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54.823,21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48.337,60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42.893,88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42.893,88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lastRenderedPageBreak/>
              <w:t>4</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138.345,00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134.110,00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132.310,00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132.310,00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5.789,06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4.881,37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4.742,26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4.742,26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7.990,58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6.955,62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6.504,78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6.504,78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32.807,58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33.100,82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32.885,08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32.885,08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21.000,00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21.000,00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21.000,00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405.099,66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408.135,00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408.135,00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408.135,00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339.852,43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288.591,31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288.046,20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288.046,20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215.139,93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176.789,19</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163.947,81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163.947,81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3.676,00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3.676,00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3.676,00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3.676,00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29.407,00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29.007,00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29.007,00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29.007,00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lastRenderedPageBreak/>
              <w:t>13</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14</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17</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1.330,63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11.175,05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11.000,00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11.000,00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170.387,35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206.898,93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258.623,66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258.623,66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1.530,12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1.000,72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445,30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445,30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r>
      <w:tr w:rsidR="003A0A99" w:rsidRPr="003A0A99" w:rsidTr="003A0A99">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TOTALE</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2.827.495,67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2.591.551,22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2.595.935,10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2.595.935,10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0,00</w:t>
            </w:r>
          </w:p>
        </w:tc>
      </w:tr>
    </w:tbl>
    <w:p w:rsidR="00A46E35" w:rsidRDefault="00A46E35" w:rsidP="00A46E35">
      <w:pPr>
        <w:autoSpaceDE w:val="0"/>
        <w:autoSpaceDN w:val="0"/>
        <w:adjustRightInd w:val="0"/>
        <w:spacing w:after="0" w:line="360" w:lineRule="auto"/>
        <w:ind w:firstLine="539"/>
        <w:rPr>
          <w:rFonts w:ascii="Calibri" w:hAnsi="Calibri" w:cs="Calibri"/>
        </w:rPr>
      </w:pPr>
    </w:p>
    <w:p w:rsidR="00A46E35" w:rsidRPr="003A0A99" w:rsidRDefault="00A46E35" w:rsidP="003A0A99">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Parte corrente per missione e programma</w:t>
      </w:r>
    </w:p>
    <w:p w:rsidR="00A46E35" w:rsidRDefault="00A46E35" w:rsidP="00A46E35">
      <w:pPr>
        <w:autoSpaceDE w:val="0"/>
        <w:autoSpaceDN w:val="0"/>
        <w:adjustRightInd w:val="0"/>
        <w:spacing w:before="113" w:after="227" w:line="240" w:lineRule="auto"/>
        <w:rPr>
          <w:rFonts w:ascii="Trebuchet MS" w:hAnsi="Trebuchet MS" w:cs="Trebuchet MS"/>
          <w:color w:val="000000"/>
          <w:sz w:val="28"/>
          <w:szCs w:val="28"/>
          <w:highlight w:val="white"/>
        </w:rPr>
      </w:pPr>
      <w:r>
        <w:rPr>
          <w:rFonts w:ascii="Trebuchet MS" w:hAnsi="Trebuchet MS" w:cs="Trebuchet MS"/>
          <w:color w:val="000000"/>
          <w:sz w:val="28"/>
          <w:szCs w:val="28"/>
          <w:highlight w:val="white"/>
        </w:rPr>
        <w:t>Parte corrente per missione</w:t>
      </w:r>
    </w:p>
    <w:p w:rsidR="00A46E35" w:rsidRDefault="00A46E35" w:rsidP="00A46E35">
      <w:pPr>
        <w:autoSpaceDE w:val="0"/>
        <w:autoSpaceDN w:val="0"/>
        <w:adjustRightInd w:val="0"/>
        <w:spacing w:after="0" w:line="360" w:lineRule="auto"/>
        <w:ind w:firstLine="539"/>
        <w:rPr>
          <w:rFonts w:ascii="Calibri" w:hAnsi="Calibri" w:cs="Calibri"/>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780"/>
        <w:gridCol w:w="997"/>
        <w:gridCol w:w="1392"/>
        <w:gridCol w:w="1188"/>
        <w:gridCol w:w="1189"/>
        <w:gridCol w:w="1189"/>
        <w:gridCol w:w="1190"/>
        <w:gridCol w:w="1190"/>
        <w:gridCol w:w="1007"/>
      </w:tblGrid>
      <w:tr w:rsidR="003A0A99" w:rsidRPr="003A0A99" w:rsidTr="003A0A99">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Missione</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Programma</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 xml:space="preserve">Previsioni definitive </w:t>
            </w:r>
            <w:proofErr w:type="spellStart"/>
            <w:r w:rsidRPr="003A0A99">
              <w:rPr>
                <w:rFonts w:ascii="Trebuchet MS" w:eastAsia="Times New Roman" w:hAnsi="Trebuchet MS" w:cs="Times New Roman"/>
                <w:b/>
                <w:bCs/>
                <w:sz w:val="16"/>
                <w:szCs w:val="16"/>
              </w:rPr>
              <w:t>eser.precedente</w:t>
            </w:r>
            <w:proofErr w:type="spellEnd"/>
          </w:p>
        </w:tc>
        <w:tc>
          <w:tcPr>
            <w:tcW w:w="1250" w:type="pct"/>
            <w:gridSpan w:val="2"/>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2018</w:t>
            </w:r>
          </w:p>
        </w:tc>
        <w:tc>
          <w:tcPr>
            <w:tcW w:w="1250" w:type="pct"/>
            <w:gridSpan w:val="2"/>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2019</w:t>
            </w:r>
          </w:p>
        </w:tc>
        <w:tc>
          <w:tcPr>
            <w:tcW w:w="1250" w:type="pct"/>
            <w:gridSpan w:val="2"/>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2020</w:t>
            </w:r>
          </w:p>
        </w:tc>
      </w:tr>
      <w:tr w:rsidR="003A0A99" w:rsidRPr="003A0A99" w:rsidTr="003A0A99">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Previsioni</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Di cui Fondo pluriennale vincolato</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Previsioni</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Di cui Fondo pluriennale vincolato</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Previsioni</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center"/>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Di cui Fondo pluriennale vincolato</w:t>
            </w:r>
          </w:p>
        </w:tc>
      </w:tr>
      <w:tr w:rsidR="003A0A99" w:rsidRPr="003A0A99" w:rsidTr="003A0A99">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14.300,00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9.360,00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7.360,00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7.360,00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399.278,15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313.771,56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306.371,56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306.371,56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248.668,93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207.918,87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201.646,09</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201.646,09</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32.320,00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16.760,00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16.760,00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16.760,00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5.332,85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5.182,58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5.026,86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5.026,86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385.454,55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369.837,00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363.837,00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363.837,00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67.013,00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66.513,00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66.513,00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66.513,00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lastRenderedPageBreak/>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81.867,49</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68.882,32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68.882,32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68.882,32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80.903,15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72.243,30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71.243,30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71.243,30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67.309,00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67.508,00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67.508,00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67.508,00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17.820,00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10.865,98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8.520,00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8.520,00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54.823,21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48.337,60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42.893,88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42.893,88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138.345,00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134.110,00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132.310,00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132.310,00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5.789,06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4.881,37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4.742,26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4.742,26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7.990,58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6.955,62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6.504,78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6.504,78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32.807,58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33.100,82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32.885,08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32.885,08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21.000,00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21.000,00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21.000,00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405.099,66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408.135,00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408.135,00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408.135,00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339.852,43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288.591,31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288.046,20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288.046,20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215.139,93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176.789,19</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163.947,81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163.947,81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11</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lastRenderedPageBreak/>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3.676,00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3.676,00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3.676,00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3.676,00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3.000,00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8</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12</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29.407,00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29.007,00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29.007,00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29.007,00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14</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17</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1.330,63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11.175,05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11.000,00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11.000,00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170.387,35</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206.898,93</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258.623,66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258.623,66</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1.530,12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1.000,72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445,30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445,30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50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60</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99</w:t>
            </w: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1</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sz w:val="16"/>
                <w:szCs w:val="16"/>
              </w:rPr>
              <w:t>0,00</w:t>
            </w:r>
          </w:p>
        </w:tc>
      </w:tr>
      <w:tr w:rsidR="003A0A99" w:rsidRPr="003A0A99" w:rsidTr="003A0A99">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p>
        </w:tc>
      </w:tr>
      <w:tr w:rsidR="003A0A99" w:rsidRPr="003A0A99" w:rsidTr="003A0A99">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rPr>
                <w:rFonts w:ascii="Times New Roman" w:eastAsia="Times New Roman" w:hAnsi="Times New Roman" w:cs="Times New Roman"/>
                <w:sz w:val="24"/>
                <w:szCs w:val="24"/>
              </w:rPr>
            </w:pPr>
          </w:p>
        </w:tc>
        <w:tc>
          <w:tcPr>
            <w:tcW w:w="3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TOTALE</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2.827.495,67</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2.591.551,22</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2.595.935,10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0,00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2.595.935,10</w:t>
            </w:r>
          </w:p>
        </w:tc>
        <w:tc>
          <w:tcPr>
            <w:tcW w:w="650" w:type="pct"/>
            <w:tcBorders>
              <w:top w:val="outset" w:sz="6" w:space="0" w:color="CCCCCC"/>
              <w:left w:val="outset" w:sz="6" w:space="0" w:color="CCCCCC"/>
              <w:bottom w:val="outset" w:sz="6" w:space="0" w:color="CCCCCC"/>
              <w:right w:val="outset" w:sz="6" w:space="0" w:color="CCCCCC"/>
            </w:tcBorders>
            <w:hideMark/>
          </w:tcPr>
          <w:p w:rsidR="003A0A99" w:rsidRPr="003A0A99" w:rsidRDefault="003A0A99" w:rsidP="003A0A99">
            <w:pPr>
              <w:spacing w:before="100" w:beforeAutospacing="1" w:after="119" w:line="240" w:lineRule="auto"/>
              <w:jc w:val="right"/>
              <w:rPr>
                <w:rFonts w:ascii="Times New Roman" w:eastAsia="Times New Roman" w:hAnsi="Times New Roman" w:cs="Times New Roman"/>
                <w:sz w:val="24"/>
                <w:szCs w:val="24"/>
              </w:rPr>
            </w:pPr>
            <w:r w:rsidRPr="003A0A99">
              <w:rPr>
                <w:rFonts w:ascii="Trebuchet MS" w:eastAsia="Times New Roman" w:hAnsi="Trebuchet MS" w:cs="Times New Roman"/>
                <w:b/>
                <w:bCs/>
                <w:sz w:val="16"/>
                <w:szCs w:val="16"/>
              </w:rPr>
              <w:t>0,00</w:t>
            </w:r>
          </w:p>
        </w:tc>
      </w:tr>
    </w:tbl>
    <w:p w:rsidR="00A46E35" w:rsidRDefault="00A46E35" w:rsidP="00A46E35">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Parte corrente per missione</w:t>
      </w:r>
    </w:p>
    <w:p w:rsidR="00A46E35" w:rsidRDefault="00A46E35" w:rsidP="00A46E35">
      <w:pPr>
        <w:autoSpaceDE w:val="0"/>
        <w:autoSpaceDN w:val="0"/>
        <w:adjustRightInd w:val="0"/>
        <w:spacing w:after="0" w:line="360" w:lineRule="auto"/>
        <w:ind w:firstLine="539"/>
        <w:rPr>
          <w:rFonts w:ascii="Trebuchet MS" w:hAnsi="Trebuchet MS" w:cs="Trebuchet MS"/>
          <w:i/>
          <w:iCs/>
          <w:color w:val="847764"/>
          <w:sz w:val="18"/>
          <w:szCs w:val="18"/>
        </w:rPr>
      </w:pPr>
    </w:p>
    <w:p w:rsidR="003A0A99" w:rsidRDefault="003A0A99" w:rsidP="00A46E35">
      <w:pPr>
        <w:autoSpaceDE w:val="0"/>
        <w:autoSpaceDN w:val="0"/>
        <w:adjustRightInd w:val="0"/>
        <w:spacing w:after="0" w:line="360" w:lineRule="auto"/>
        <w:ind w:firstLine="539"/>
        <w:rPr>
          <w:rFonts w:ascii="Trebuchet MS" w:hAnsi="Trebuchet MS" w:cs="Trebuchet MS"/>
          <w:i/>
          <w:iCs/>
          <w:color w:val="847764"/>
          <w:sz w:val="18"/>
          <w:szCs w:val="18"/>
        </w:rPr>
      </w:pPr>
      <w:r>
        <w:rPr>
          <w:rFonts w:ascii="Trebuchet MS" w:hAnsi="Trebuchet MS" w:cs="Trebuchet MS"/>
          <w:i/>
          <w:iCs/>
          <w:noProof/>
          <w:color w:val="847764"/>
          <w:sz w:val="18"/>
          <w:szCs w:val="18"/>
        </w:rPr>
        <w:lastRenderedPageBreak/>
        <w:drawing>
          <wp:inline distT="0" distB="0" distL="0" distR="0">
            <wp:extent cx="6332220" cy="4270167"/>
            <wp:effectExtent l="19050" t="0" r="0" b="0"/>
            <wp:docPr id="18"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srcRect/>
                    <a:stretch>
                      <a:fillRect/>
                    </a:stretch>
                  </pic:blipFill>
                  <pic:spPr bwMode="auto">
                    <a:xfrm>
                      <a:off x="0" y="0"/>
                      <a:ext cx="6332220" cy="4270167"/>
                    </a:xfrm>
                    <a:prstGeom prst="rect">
                      <a:avLst/>
                    </a:prstGeom>
                    <a:noFill/>
                    <a:ln w="9525">
                      <a:noFill/>
                      <a:miter lim="800000"/>
                      <a:headEnd/>
                      <a:tailEnd/>
                    </a:ln>
                  </pic:spPr>
                </pic:pic>
              </a:graphicData>
            </a:graphic>
          </wp:inline>
        </w:drawing>
      </w:r>
    </w:p>
    <w:p w:rsidR="003A0A99" w:rsidRDefault="003A0A99" w:rsidP="00A46E35">
      <w:pPr>
        <w:autoSpaceDE w:val="0"/>
        <w:autoSpaceDN w:val="0"/>
        <w:adjustRightInd w:val="0"/>
        <w:spacing w:after="0" w:line="360" w:lineRule="auto"/>
        <w:ind w:firstLine="539"/>
        <w:rPr>
          <w:rFonts w:ascii="Calibri" w:hAnsi="Calibri" w:cs="Calibri"/>
        </w:rPr>
      </w:pPr>
    </w:p>
    <w:p w:rsidR="00A46E35" w:rsidRDefault="00A46E35" w:rsidP="00A46E35">
      <w:pPr>
        <w:autoSpaceDE w:val="0"/>
        <w:autoSpaceDN w:val="0"/>
        <w:adjustRightInd w:val="0"/>
        <w:spacing w:before="113" w:after="227" w:line="240" w:lineRule="auto"/>
        <w:rPr>
          <w:rFonts w:ascii="Trebuchet MS" w:hAnsi="Trebuchet MS" w:cs="Trebuchet MS"/>
          <w:color w:val="000000"/>
          <w:sz w:val="28"/>
          <w:szCs w:val="28"/>
          <w:highlight w:val="white"/>
        </w:rPr>
      </w:pPr>
      <w:r>
        <w:rPr>
          <w:rFonts w:ascii="Trebuchet MS" w:hAnsi="Trebuchet MS" w:cs="Trebuchet MS"/>
          <w:color w:val="000000"/>
          <w:sz w:val="28"/>
          <w:szCs w:val="28"/>
          <w:highlight w:val="white"/>
        </w:rPr>
        <w:t>Parte capitale per missione e programma</w:t>
      </w:r>
    </w:p>
    <w:p w:rsidR="00A46E35" w:rsidRDefault="00A46E35" w:rsidP="00A46E35">
      <w:pPr>
        <w:autoSpaceDE w:val="0"/>
        <w:autoSpaceDN w:val="0"/>
        <w:adjustRightInd w:val="0"/>
        <w:spacing w:after="0" w:line="360" w:lineRule="auto"/>
        <w:ind w:firstLine="539"/>
        <w:rPr>
          <w:rFonts w:ascii="Calibri" w:hAnsi="Calibri" w:cs="Calibri"/>
        </w:rPr>
      </w:pP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780"/>
        <w:gridCol w:w="997"/>
        <w:gridCol w:w="1393"/>
        <w:gridCol w:w="1186"/>
        <w:gridCol w:w="1190"/>
        <w:gridCol w:w="1188"/>
        <w:gridCol w:w="1190"/>
        <w:gridCol w:w="1188"/>
        <w:gridCol w:w="1010"/>
      </w:tblGrid>
      <w:tr w:rsidR="003A0A99" w:rsidTr="00625608">
        <w:trPr>
          <w:tblCellSpacing w:w="0" w:type="dxa"/>
        </w:trPr>
        <w:tc>
          <w:tcPr>
            <w:tcW w:w="385" w:type="pct"/>
            <w:vMerge w:val="restar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Missione</w:t>
            </w:r>
          </w:p>
        </w:tc>
        <w:tc>
          <w:tcPr>
            <w:tcW w:w="492" w:type="pct"/>
            <w:vMerge w:val="restar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Programma</w:t>
            </w:r>
          </w:p>
        </w:tc>
        <w:tc>
          <w:tcPr>
            <w:tcW w:w="688" w:type="pct"/>
            <w:vMerge w:val="restar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 xml:space="preserve">Previsioni definitive </w:t>
            </w:r>
            <w:proofErr w:type="spellStart"/>
            <w:r>
              <w:rPr>
                <w:rFonts w:ascii="Trebuchet MS" w:hAnsi="Trebuchet MS"/>
                <w:b/>
                <w:bCs/>
                <w:sz w:val="16"/>
                <w:szCs w:val="16"/>
              </w:rPr>
              <w:t>eser.precedente</w:t>
            </w:r>
            <w:proofErr w:type="spellEnd"/>
          </w:p>
        </w:tc>
        <w:tc>
          <w:tcPr>
            <w:tcW w:w="1174" w:type="pct"/>
            <w:gridSpan w:val="2"/>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2018</w:t>
            </w:r>
          </w:p>
        </w:tc>
        <w:tc>
          <w:tcPr>
            <w:tcW w:w="1175" w:type="pct"/>
            <w:gridSpan w:val="2"/>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2019</w:t>
            </w:r>
          </w:p>
        </w:tc>
        <w:tc>
          <w:tcPr>
            <w:tcW w:w="1087" w:type="pct"/>
            <w:gridSpan w:val="2"/>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2020</w:t>
            </w:r>
          </w:p>
        </w:tc>
      </w:tr>
      <w:tr w:rsidR="003A0A99" w:rsidTr="00625608">
        <w:trPr>
          <w:tblCellSpacing w:w="0" w:type="dxa"/>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3A0A99" w:rsidRDefault="003A0A99">
            <w:pPr>
              <w:rPr>
                <w:sz w:val="24"/>
                <w:szCs w:val="24"/>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3A0A99" w:rsidRDefault="003A0A99">
            <w:pPr>
              <w:rPr>
                <w:sz w:val="24"/>
                <w:szCs w:val="24"/>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3A0A99" w:rsidRDefault="003A0A99">
            <w:pPr>
              <w:rPr>
                <w:sz w:val="24"/>
                <w:szCs w:val="24"/>
              </w:rPr>
            </w:pP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Previsioni</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Di cui Fondo pluriennale vincolato</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Previsioni</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Di cui Fondo pluriennale vincolato</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Previsioni</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center"/>
            </w:pPr>
            <w:r>
              <w:rPr>
                <w:rFonts w:ascii="Trebuchet MS" w:hAnsi="Trebuchet MS"/>
                <w:b/>
                <w:bCs/>
                <w:sz w:val="16"/>
                <w:szCs w:val="16"/>
              </w:rPr>
              <w:t>Di cui Fondo pluriennale vincolato</w:t>
            </w:r>
          </w:p>
        </w:tc>
      </w:tr>
      <w:tr w:rsidR="003A0A99" w:rsidTr="00625608">
        <w:trPr>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135.000,00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3</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4</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5</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150.000,00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195.000,00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195.000,00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6</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lastRenderedPageBreak/>
              <w:t>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7</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8</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10</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3</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4</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4</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32.671,67</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4</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6</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4</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7</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5</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5</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6</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8</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17.800,00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11.000,00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11.000,00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11.000,00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8</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9</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9</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28.900,00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145.200,00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95.200,00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95.200,00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9</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3</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9</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4</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40.000,00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130.000,00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10.000,00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10.000,00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9</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5</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9</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7</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9</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8</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10</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10</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5</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192.082,00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470.000,00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220.000,00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220.000,00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11</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lastRenderedPageBreak/>
              <w:t>12</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12</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12</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3</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12</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4</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12</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6</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12</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7</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12</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8</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12</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9</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98.020,00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63.000,00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59.100,00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59.100,00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13</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7</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14</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17</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31.313,34</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20</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20</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2.730,00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3.900,00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3.900,00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50</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50</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2</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60</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rHeight w:val="375"/>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99</w:t>
            </w: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r>
              <w:rPr>
                <w:rFonts w:ascii="Trebuchet MS" w:hAnsi="Trebuchet MS"/>
                <w:sz w:val="16"/>
                <w:szCs w:val="16"/>
              </w:rPr>
              <w:t>1</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sz w:val="16"/>
                <w:szCs w:val="16"/>
              </w:rPr>
              <w:t>0,00</w:t>
            </w:r>
          </w:p>
        </w:tc>
      </w:tr>
      <w:tr w:rsidR="003A0A99" w:rsidTr="00625608">
        <w:trPr>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pP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p>
        </w:tc>
      </w:tr>
      <w:tr w:rsidR="003A0A99" w:rsidTr="00625608">
        <w:trPr>
          <w:tblCellSpacing w:w="0" w:type="dxa"/>
        </w:trPr>
        <w:tc>
          <w:tcPr>
            <w:tcW w:w="385"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p>
        </w:tc>
        <w:tc>
          <w:tcPr>
            <w:tcW w:w="492"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b/>
                <w:bCs/>
                <w:sz w:val="16"/>
                <w:szCs w:val="16"/>
              </w:rPr>
              <w:t>TOTALE</w:t>
            </w:r>
          </w:p>
        </w:tc>
        <w:tc>
          <w:tcPr>
            <w:tcW w:w="6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b/>
                <w:bCs/>
                <w:sz w:val="16"/>
                <w:szCs w:val="16"/>
              </w:rPr>
              <w:t>578.517,01</w:t>
            </w:r>
          </w:p>
        </w:tc>
        <w:tc>
          <w:tcPr>
            <w:tcW w:w="586"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b/>
                <w:bCs/>
                <w:sz w:val="16"/>
                <w:szCs w:val="16"/>
              </w:rPr>
              <w:t>969.200,00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b/>
                <w:bC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b/>
                <w:bCs/>
                <w:sz w:val="16"/>
                <w:szCs w:val="16"/>
              </w:rPr>
              <w:t>594.200,00</w:t>
            </w:r>
          </w:p>
        </w:tc>
        <w:tc>
          <w:tcPr>
            <w:tcW w:w="588"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b/>
                <w:bCs/>
                <w:sz w:val="16"/>
                <w:szCs w:val="16"/>
              </w:rPr>
              <w:t>0,00</w:t>
            </w:r>
          </w:p>
        </w:tc>
        <w:tc>
          <w:tcPr>
            <w:tcW w:w="587"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b/>
                <w:bCs/>
                <w:sz w:val="16"/>
                <w:szCs w:val="16"/>
              </w:rPr>
              <w:t>594.200,00</w:t>
            </w:r>
          </w:p>
        </w:tc>
        <w:tc>
          <w:tcPr>
            <w:tcW w:w="499" w:type="pct"/>
            <w:tcBorders>
              <w:top w:val="outset" w:sz="6" w:space="0" w:color="CCCCCC"/>
              <w:left w:val="outset" w:sz="6" w:space="0" w:color="CCCCCC"/>
              <w:bottom w:val="outset" w:sz="6" w:space="0" w:color="CCCCCC"/>
              <w:right w:val="outset" w:sz="6" w:space="0" w:color="CCCCCC"/>
            </w:tcBorders>
            <w:hideMark/>
          </w:tcPr>
          <w:p w:rsidR="003A0A99" w:rsidRDefault="003A0A99">
            <w:pPr>
              <w:pStyle w:val="NormaleWeb"/>
              <w:jc w:val="right"/>
            </w:pPr>
            <w:r>
              <w:rPr>
                <w:rFonts w:ascii="Trebuchet MS" w:hAnsi="Trebuchet MS"/>
                <w:b/>
                <w:bCs/>
                <w:sz w:val="16"/>
                <w:szCs w:val="16"/>
              </w:rPr>
              <w:t>0,00</w:t>
            </w:r>
          </w:p>
        </w:tc>
      </w:tr>
    </w:tbl>
    <w:p w:rsidR="00A46E35" w:rsidRDefault="00A46E35" w:rsidP="00A46E35">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Parte capitale per missione e programma</w:t>
      </w:r>
    </w:p>
    <w:p w:rsidR="00A46E35" w:rsidRDefault="00EF65F0" w:rsidP="00A46E35">
      <w:pPr>
        <w:autoSpaceDE w:val="0"/>
        <w:autoSpaceDN w:val="0"/>
        <w:adjustRightInd w:val="0"/>
        <w:spacing w:after="0" w:line="360" w:lineRule="auto"/>
        <w:ind w:firstLine="539"/>
        <w:jc w:val="both"/>
        <w:rPr>
          <w:rFonts w:ascii="Calibri" w:hAnsi="Calibri" w:cs="Calibri"/>
        </w:rPr>
      </w:pPr>
      <w:r>
        <w:rPr>
          <w:rFonts w:ascii="Calibri" w:hAnsi="Calibri" w:cs="Calibri"/>
          <w:noProof/>
        </w:rPr>
        <w:lastRenderedPageBreak/>
        <w:drawing>
          <wp:inline distT="0" distB="0" distL="0" distR="0">
            <wp:extent cx="6327820" cy="3238500"/>
            <wp:effectExtent l="19050" t="0" r="0" b="0"/>
            <wp:docPr id="11"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srcRect/>
                    <a:stretch>
                      <a:fillRect/>
                    </a:stretch>
                  </pic:blipFill>
                  <pic:spPr bwMode="auto">
                    <a:xfrm>
                      <a:off x="0" y="0"/>
                      <a:ext cx="6332220" cy="3240752"/>
                    </a:xfrm>
                    <a:prstGeom prst="rect">
                      <a:avLst/>
                    </a:prstGeom>
                    <a:noFill/>
                    <a:ln w="9525">
                      <a:noFill/>
                      <a:miter lim="800000"/>
                      <a:headEnd/>
                      <a:tailEnd/>
                    </a:ln>
                  </pic:spPr>
                </pic:pic>
              </a:graphicData>
            </a:graphic>
          </wp:inline>
        </w:drawing>
      </w:r>
    </w:p>
    <w:p w:rsidR="00EF65F0" w:rsidRDefault="00EF65F0" w:rsidP="00A46E35">
      <w:pPr>
        <w:autoSpaceDE w:val="0"/>
        <w:autoSpaceDN w:val="0"/>
        <w:adjustRightInd w:val="0"/>
        <w:spacing w:before="113" w:after="227" w:line="240" w:lineRule="auto"/>
        <w:rPr>
          <w:rFonts w:ascii="Trebuchet MS" w:hAnsi="Trebuchet MS" w:cs="Trebuchet MS"/>
          <w:color w:val="000000"/>
          <w:sz w:val="28"/>
          <w:szCs w:val="28"/>
          <w:highlight w:val="white"/>
        </w:rPr>
      </w:pPr>
    </w:p>
    <w:p w:rsidR="00EF65F0" w:rsidRDefault="00EF65F0" w:rsidP="00A46E35">
      <w:pPr>
        <w:autoSpaceDE w:val="0"/>
        <w:autoSpaceDN w:val="0"/>
        <w:adjustRightInd w:val="0"/>
        <w:spacing w:before="113" w:after="227" w:line="240" w:lineRule="auto"/>
        <w:rPr>
          <w:rFonts w:ascii="Trebuchet MS" w:hAnsi="Trebuchet MS" w:cs="Trebuchet MS"/>
          <w:color w:val="000000"/>
          <w:sz w:val="28"/>
          <w:szCs w:val="28"/>
          <w:highlight w:val="white"/>
        </w:rPr>
      </w:pPr>
    </w:p>
    <w:p w:rsidR="00A46E35" w:rsidRDefault="00A46E35" w:rsidP="00A46E35">
      <w:pPr>
        <w:autoSpaceDE w:val="0"/>
        <w:autoSpaceDN w:val="0"/>
        <w:adjustRightInd w:val="0"/>
        <w:spacing w:before="113" w:after="227" w:line="240" w:lineRule="auto"/>
        <w:rPr>
          <w:rFonts w:ascii="Trebuchet MS" w:hAnsi="Trebuchet MS" w:cs="Trebuchet MS"/>
          <w:color w:val="000000"/>
          <w:sz w:val="28"/>
          <w:szCs w:val="28"/>
          <w:highlight w:val="white"/>
        </w:rPr>
      </w:pPr>
      <w:r>
        <w:rPr>
          <w:rFonts w:ascii="Trebuchet MS" w:hAnsi="Trebuchet MS" w:cs="Trebuchet MS"/>
          <w:color w:val="000000"/>
          <w:sz w:val="28"/>
          <w:szCs w:val="28"/>
          <w:highlight w:val="white"/>
        </w:rPr>
        <w:t>Parte capitale per missione</w:t>
      </w:r>
    </w:p>
    <w:tbl>
      <w:tblPr>
        <w:tblW w:w="5000" w:type="pct"/>
        <w:tblCellSpacing w:w="0" w:type="dxa"/>
        <w:tblBorders>
          <w:top w:val="outset" w:sz="6" w:space="0" w:color="CCCCCC"/>
          <w:left w:val="outset" w:sz="6" w:space="0" w:color="CCCCCC"/>
          <w:bottom w:val="outset" w:sz="6" w:space="0" w:color="CCCCCC"/>
          <w:right w:val="outset" w:sz="6" w:space="0" w:color="CCCCCC"/>
        </w:tblBorders>
        <w:tblCellMar>
          <w:top w:w="60" w:type="dxa"/>
          <w:left w:w="60" w:type="dxa"/>
          <w:bottom w:w="60" w:type="dxa"/>
          <w:right w:w="60" w:type="dxa"/>
        </w:tblCellMar>
        <w:tblLook w:val="04A0"/>
      </w:tblPr>
      <w:tblGrid>
        <w:gridCol w:w="780"/>
        <w:gridCol w:w="1875"/>
        <w:gridCol w:w="1392"/>
        <w:gridCol w:w="1018"/>
        <w:gridCol w:w="1007"/>
        <w:gridCol w:w="1018"/>
        <w:gridCol w:w="1007"/>
        <w:gridCol w:w="1018"/>
        <w:gridCol w:w="1007"/>
      </w:tblGrid>
      <w:tr w:rsidR="00625608" w:rsidRPr="00625608" w:rsidTr="00625608">
        <w:trPr>
          <w:tblCellSpacing w:w="0" w:type="dxa"/>
        </w:trPr>
        <w:tc>
          <w:tcPr>
            <w:tcW w:w="250" w:type="pct"/>
            <w:vMerge w:val="restar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Missione</w:t>
            </w:r>
          </w:p>
        </w:tc>
        <w:tc>
          <w:tcPr>
            <w:tcW w:w="1200" w:type="pct"/>
            <w:vMerge w:val="restar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Descrizione</w:t>
            </w:r>
          </w:p>
        </w:tc>
        <w:tc>
          <w:tcPr>
            <w:tcW w:w="500" w:type="pct"/>
            <w:vMerge w:val="restar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 xml:space="preserve">Previsioni definitive </w:t>
            </w:r>
            <w:proofErr w:type="spellStart"/>
            <w:r w:rsidRPr="00625608">
              <w:rPr>
                <w:rFonts w:ascii="Trebuchet MS" w:eastAsia="Times New Roman" w:hAnsi="Trebuchet MS" w:cs="Times New Roman"/>
                <w:b/>
                <w:bCs/>
                <w:sz w:val="16"/>
                <w:szCs w:val="16"/>
              </w:rPr>
              <w:t>eser.precedente</w:t>
            </w:r>
            <w:proofErr w:type="spellEnd"/>
          </w:p>
        </w:tc>
        <w:tc>
          <w:tcPr>
            <w:tcW w:w="1000" w:type="pct"/>
            <w:gridSpan w:val="2"/>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2018</w:t>
            </w:r>
          </w:p>
        </w:tc>
        <w:tc>
          <w:tcPr>
            <w:tcW w:w="1000" w:type="pct"/>
            <w:gridSpan w:val="2"/>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2019</w:t>
            </w:r>
          </w:p>
        </w:tc>
        <w:tc>
          <w:tcPr>
            <w:tcW w:w="1000" w:type="pct"/>
            <w:gridSpan w:val="2"/>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2020</w:t>
            </w:r>
          </w:p>
        </w:tc>
      </w:tr>
      <w:tr w:rsidR="00625608" w:rsidRPr="00625608" w:rsidTr="00625608">
        <w:trPr>
          <w:tblCellSpacing w:w="0" w:type="dxa"/>
        </w:trPr>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625608" w:rsidRPr="00625608" w:rsidRDefault="00625608" w:rsidP="00625608">
            <w:pPr>
              <w:spacing w:after="0" w:line="240" w:lineRule="auto"/>
              <w:rPr>
                <w:rFonts w:ascii="Times New Roman" w:eastAsia="Times New Roman" w:hAnsi="Times New Roman" w:cs="Times New Roman"/>
                <w:sz w:val="24"/>
                <w:szCs w:val="24"/>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625608" w:rsidRPr="00625608" w:rsidRDefault="00625608" w:rsidP="00625608">
            <w:pPr>
              <w:spacing w:after="0" w:line="240" w:lineRule="auto"/>
              <w:rPr>
                <w:rFonts w:ascii="Times New Roman" w:eastAsia="Times New Roman" w:hAnsi="Times New Roman" w:cs="Times New Roman"/>
                <w:sz w:val="24"/>
                <w:szCs w:val="24"/>
              </w:rPr>
            </w:pPr>
          </w:p>
        </w:tc>
        <w:tc>
          <w:tcPr>
            <w:tcW w:w="0" w:type="auto"/>
            <w:vMerge/>
            <w:tcBorders>
              <w:top w:val="outset" w:sz="6" w:space="0" w:color="CCCCCC"/>
              <w:left w:val="outset" w:sz="6" w:space="0" w:color="CCCCCC"/>
              <w:bottom w:val="outset" w:sz="6" w:space="0" w:color="CCCCCC"/>
              <w:right w:val="outset" w:sz="6" w:space="0" w:color="CCCCCC"/>
            </w:tcBorders>
            <w:vAlign w:val="center"/>
            <w:hideMark/>
          </w:tcPr>
          <w:p w:rsidR="00625608" w:rsidRPr="00625608" w:rsidRDefault="00625608" w:rsidP="00625608">
            <w:pPr>
              <w:spacing w:after="0" w:line="240" w:lineRule="auto"/>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Previsioni</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Di cui Fondo pluriennale vincolato</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Previsioni</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Di cui Fondo pluriennale vincolato</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Previsioni</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center"/>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Di cui Fondo pluriennale vincolato</w:t>
            </w:r>
          </w:p>
        </w:tc>
      </w:tr>
      <w:tr w:rsidR="00625608" w:rsidRPr="00625608" w:rsidTr="00625608">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Servizi istituzionali, generali e di gestione</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135.000,00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150.000,00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195.000,00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195.000,00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2</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Giustizia</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3</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Ordine pubblico e sicurezza</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4</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Istruzione e diritto allo studio</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32.671,67</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5</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Tutela e valorizzazione dei beni e delle attività culturali</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6</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Politiche giovanili, sport e tempo libero</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8</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Assetto del territorio ed edilizia abitativa</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17.800,00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11.000,00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11.000,00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11.000,00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lastRenderedPageBreak/>
              <w:t>9</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Sviluppo sostenibile e tutela del territorio e dell'ambiente</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68.900,00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275.200,00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105.200,00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105.200,00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10</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Trasporti e diritto alla mobilità</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192.082,00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470.000,00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220.000,00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220.000,00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11</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Soccorso civile</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12</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Diritti sociali, politiche sociali e famiglia</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98.020,00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63.000,00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59.100,00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59.100,00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13</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Tutela della salute</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14</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Sviluppo economico e competitività</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17</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Energia e diversificazione delle fonti energetiche</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31.313,34</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20</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Fondi e accantonamenti</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2.730,00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3.900,00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3.900,00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50</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Debito pubblico</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60</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Anticipazioni finanziarie</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rHeight w:val="375"/>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99</w:t>
            </w: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Servizi per conto terzi</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sz w:val="16"/>
                <w:szCs w:val="16"/>
              </w:rPr>
              <w:t>0,00</w:t>
            </w:r>
          </w:p>
        </w:tc>
      </w:tr>
      <w:tr w:rsidR="00625608" w:rsidRPr="00625608" w:rsidTr="00625608">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p>
        </w:tc>
      </w:tr>
      <w:tr w:rsidR="00625608" w:rsidRPr="00625608" w:rsidTr="00625608">
        <w:trPr>
          <w:tblCellSpacing w:w="0" w:type="dxa"/>
        </w:trPr>
        <w:tc>
          <w:tcPr>
            <w:tcW w:w="25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rPr>
                <w:rFonts w:ascii="Times New Roman" w:eastAsia="Times New Roman" w:hAnsi="Times New Roman" w:cs="Times New Roman"/>
                <w:sz w:val="24"/>
                <w:szCs w:val="24"/>
              </w:rPr>
            </w:pPr>
          </w:p>
        </w:tc>
        <w:tc>
          <w:tcPr>
            <w:tcW w:w="12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TOTALE</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578.517,01</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969.200,00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594.200,00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594.200,00</w:t>
            </w:r>
          </w:p>
        </w:tc>
        <w:tc>
          <w:tcPr>
            <w:tcW w:w="500" w:type="pct"/>
            <w:tcBorders>
              <w:top w:val="outset" w:sz="6" w:space="0" w:color="CCCCCC"/>
              <w:left w:val="outset" w:sz="6" w:space="0" w:color="CCCCCC"/>
              <w:bottom w:val="outset" w:sz="6" w:space="0" w:color="CCCCCC"/>
              <w:right w:val="outset" w:sz="6" w:space="0" w:color="CCCCCC"/>
            </w:tcBorders>
            <w:hideMark/>
          </w:tcPr>
          <w:p w:rsidR="00625608" w:rsidRPr="00625608" w:rsidRDefault="00625608" w:rsidP="00625608">
            <w:pPr>
              <w:spacing w:before="100" w:beforeAutospacing="1" w:after="119" w:line="240" w:lineRule="auto"/>
              <w:jc w:val="right"/>
              <w:rPr>
                <w:rFonts w:ascii="Times New Roman" w:eastAsia="Times New Roman" w:hAnsi="Times New Roman" w:cs="Times New Roman"/>
                <w:sz w:val="24"/>
                <w:szCs w:val="24"/>
              </w:rPr>
            </w:pPr>
            <w:r w:rsidRPr="00625608">
              <w:rPr>
                <w:rFonts w:ascii="Trebuchet MS" w:eastAsia="Times New Roman" w:hAnsi="Trebuchet MS" w:cs="Times New Roman"/>
                <w:b/>
                <w:bCs/>
                <w:sz w:val="16"/>
                <w:szCs w:val="16"/>
              </w:rPr>
              <w:t>0,00</w:t>
            </w:r>
          </w:p>
        </w:tc>
      </w:tr>
    </w:tbl>
    <w:p w:rsidR="00A46E35" w:rsidRDefault="00A46E35" w:rsidP="00A46E35">
      <w:pPr>
        <w:autoSpaceDE w:val="0"/>
        <w:autoSpaceDN w:val="0"/>
        <w:adjustRightInd w:val="0"/>
        <w:spacing w:after="0" w:line="360" w:lineRule="auto"/>
        <w:ind w:firstLine="539"/>
        <w:jc w:val="both"/>
        <w:rPr>
          <w:rFonts w:ascii="Calibri" w:hAnsi="Calibri" w:cs="Calibri"/>
        </w:rPr>
      </w:pPr>
    </w:p>
    <w:p w:rsidR="00A46E35" w:rsidRDefault="00A46E35" w:rsidP="00A46E35">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Parte capitale per missione</w:t>
      </w:r>
    </w:p>
    <w:p w:rsidR="00A46E35" w:rsidRDefault="00625608" w:rsidP="00A46E35">
      <w:pPr>
        <w:autoSpaceDE w:val="0"/>
        <w:autoSpaceDN w:val="0"/>
        <w:adjustRightInd w:val="0"/>
        <w:spacing w:after="0" w:line="360" w:lineRule="auto"/>
        <w:ind w:firstLine="539"/>
        <w:jc w:val="both"/>
        <w:rPr>
          <w:rFonts w:ascii="Calibri" w:hAnsi="Calibri" w:cs="Calibri"/>
        </w:rPr>
      </w:pPr>
      <w:r>
        <w:rPr>
          <w:rFonts w:ascii="Calibri" w:hAnsi="Calibri" w:cs="Calibri"/>
          <w:noProof/>
        </w:rPr>
        <w:lastRenderedPageBreak/>
        <w:drawing>
          <wp:inline distT="0" distB="0" distL="0" distR="0">
            <wp:extent cx="6332220" cy="4097319"/>
            <wp:effectExtent l="19050" t="0" r="0" b="0"/>
            <wp:docPr id="19"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6332220" cy="4097319"/>
                    </a:xfrm>
                    <a:prstGeom prst="rect">
                      <a:avLst/>
                    </a:prstGeom>
                    <a:noFill/>
                    <a:ln w="9525">
                      <a:noFill/>
                      <a:miter lim="800000"/>
                      <a:headEnd/>
                      <a:tailEnd/>
                    </a:ln>
                  </pic:spPr>
                </pic:pic>
              </a:graphicData>
            </a:graphic>
          </wp:inline>
        </w:drawing>
      </w:r>
    </w:p>
    <w:p w:rsidR="00A46E35" w:rsidRDefault="00A46E35" w:rsidP="00A46E35">
      <w:pPr>
        <w:autoSpaceDE w:val="0"/>
        <w:autoSpaceDN w:val="0"/>
        <w:adjustRightInd w:val="0"/>
        <w:spacing w:after="0" w:line="360" w:lineRule="auto"/>
        <w:ind w:firstLine="539"/>
        <w:jc w:val="both"/>
        <w:rPr>
          <w:rFonts w:ascii="Calibri" w:hAnsi="Calibri" w:cs="Calibri"/>
        </w:rPr>
      </w:pPr>
    </w:p>
    <w:p w:rsidR="00A46E35" w:rsidRDefault="00A46E35" w:rsidP="00A46E35">
      <w:pPr>
        <w:autoSpaceDE w:val="0"/>
        <w:autoSpaceDN w:val="0"/>
        <w:adjustRightInd w:val="0"/>
        <w:spacing w:before="113" w:after="850" w:line="240" w:lineRule="auto"/>
        <w:ind w:firstLine="539"/>
        <w:rPr>
          <w:rFonts w:ascii="Trebuchet MS" w:hAnsi="Trebuchet MS" w:cs="Trebuchet MS"/>
          <w:color w:val="000000"/>
          <w:sz w:val="48"/>
          <w:szCs w:val="48"/>
          <w:highlight w:val="white"/>
        </w:rPr>
      </w:pPr>
      <w:r>
        <w:rPr>
          <w:rFonts w:ascii="Trebuchet MS" w:hAnsi="Trebuchet MS" w:cs="Trebuchet MS"/>
          <w:color w:val="000000"/>
          <w:sz w:val="48"/>
          <w:szCs w:val="48"/>
          <w:highlight w:val="white"/>
        </w:rPr>
        <w:t>Parte seconda</w:t>
      </w:r>
    </w:p>
    <w:p w:rsidR="00A46E35" w:rsidRDefault="00A46E35" w:rsidP="00A46E35">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Programmazione dei lavori pubblici</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Parte 2 della Sezione operativa comprende la programmazione in materia di lavori pubblici, personale e patrimonio.</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La realizzazione dei lavori pubblici degli enti locali deve essere svolta in conformità ad un programma triennale e  ai suoi aggiornamenti annuali che sono ricompresi nella Sezione operativa del DUP. </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 lavori da realizzare nel primo anno del triennio sono compresi nell’elenco annuale che costituisce il  documento di previsione per gli investimenti in lavori pubblici e  il loro finanziamento. Ogni ente locale deve analizzare, identificare e quantificare gli interventi e le risorse reperibili per il loro finanziamento.</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Il programma deve in ogni modo indicare: </w:t>
      </w:r>
    </w:p>
    <w:p w:rsidR="00A46E35" w:rsidRDefault="00A46E35" w:rsidP="00A46E35">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le priorità e le azioni da intraprendere come richiesto dalla legge; </w:t>
      </w:r>
    </w:p>
    <w:p w:rsidR="00A46E35" w:rsidRDefault="00A46E35" w:rsidP="00A46E35">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lastRenderedPageBreak/>
        <w:t>la stima dei tempi e la durata degli adempimenti amministrativi di realizzazione delle opere e del collaudo;</w:t>
      </w:r>
    </w:p>
    <w:p w:rsidR="00A46E35" w:rsidRDefault="00A46E35" w:rsidP="00A46E35">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stima dei fabbisogni espressi in termini sia di competenza, sia di cassa, al fine del relativo finanziamento in coerenza con i vincoli di finanza pubblica.</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Trattando della programmazione dei lavori pubblici si dovrà fare necessariamente riferimento al “Fondo pluriennale vincolato” come saldo  finanziario, costituito da risorse già accertate destinate al finanziamento di obbligazioni passive dell’ente già impegnate, ma esigibili in esercizi successivi a quello in cui è accertata l’entrata.</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programmazione considera soltanto gli interventi di importo superiore ad € 100.000,00.</w:t>
      </w:r>
    </w:p>
    <w:p w:rsidR="00A46E35" w:rsidRDefault="00A46E35" w:rsidP="00625608">
      <w:pPr>
        <w:autoSpaceDE w:val="0"/>
        <w:autoSpaceDN w:val="0"/>
        <w:adjustRightInd w:val="0"/>
        <w:spacing w:after="0" w:line="360" w:lineRule="auto"/>
        <w:jc w:val="both"/>
        <w:rPr>
          <w:rFonts w:ascii="Calibri" w:hAnsi="Calibri" w:cs="Calibri"/>
        </w:rPr>
      </w:pPr>
    </w:p>
    <w:tbl>
      <w:tblPr>
        <w:tblW w:w="0" w:type="auto"/>
        <w:tblInd w:w="55" w:type="dxa"/>
        <w:tblLayout w:type="fixed"/>
        <w:tblCellMar>
          <w:left w:w="55" w:type="dxa"/>
          <w:right w:w="55" w:type="dxa"/>
        </w:tblCellMar>
        <w:tblLook w:val="0000"/>
      </w:tblPr>
      <w:tblGrid>
        <w:gridCol w:w="1928"/>
        <w:gridCol w:w="1928"/>
        <w:gridCol w:w="1928"/>
        <w:gridCol w:w="1928"/>
        <w:gridCol w:w="1928"/>
      </w:tblGrid>
      <w:tr w:rsidR="00A46E35">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b/>
              </w:rPr>
            </w:pPr>
            <w:r w:rsidRPr="00EF65F0">
              <w:rPr>
                <w:rFonts w:ascii="Trebuchet MS" w:hAnsi="Trebuchet MS" w:cs="Trebuchet MS"/>
                <w:b/>
                <w:sz w:val="16"/>
                <w:szCs w:val="16"/>
              </w:rPr>
              <w:t>DESCRIZIONE</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625608" w:rsidP="00625608">
            <w:pPr>
              <w:autoSpaceDE w:val="0"/>
              <w:autoSpaceDN w:val="0"/>
              <w:adjustRightInd w:val="0"/>
              <w:spacing w:after="0" w:line="240" w:lineRule="auto"/>
              <w:rPr>
                <w:rFonts w:ascii="Calibri" w:hAnsi="Calibri" w:cs="Calibri"/>
                <w:b/>
              </w:rPr>
            </w:pPr>
            <w:r>
              <w:rPr>
                <w:rFonts w:ascii="Trebuchet MS" w:hAnsi="Trebuchet MS" w:cs="Trebuchet MS"/>
                <w:b/>
                <w:sz w:val="16"/>
                <w:szCs w:val="16"/>
              </w:rPr>
              <w:t>2018</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b/>
              </w:rPr>
            </w:pPr>
            <w:r w:rsidRPr="00EF65F0">
              <w:rPr>
                <w:rFonts w:ascii="Trebuchet MS" w:hAnsi="Trebuchet MS" w:cs="Trebuchet MS"/>
                <w:b/>
                <w:sz w:val="16"/>
                <w:szCs w:val="16"/>
              </w:rPr>
              <w:t>201</w:t>
            </w:r>
            <w:r w:rsidR="00625608">
              <w:rPr>
                <w:rFonts w:ascii="Trebuchet MS" w:hAnsi="Trebuchet MS" w:cs="Trebuchet MS"/>
                <w:b/>
                <w:sz w:val="16"/>
                <w:szCs w:val="16"/>
              </w:rPr>
              <w:t>9</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b/>
              </w:rPr>
            </w:pPr>
            <w:r w:rsidRPr="00EF65F0">
              <w:rPr>
                <w:rFonts w:ascii="Trebuchet MS" w:hAnsi="Trebuchet MS" w:cs="Trebuchet MS"/>
                <w:b/>
                <w:sz w:val="16"/>
                <w:szCs w:val="16"/>
              </w:rPr>
              <w:t>20</w:t>
            </w:r>
            <w:r w:rsidR="00625608">
              <w:rPr>
                <w:rFonts w:ascii="Trebuchet MS" w:hAnsi="Trebuchet MS" w:cs="Trebuchet MS"/>
                <w:b/>
                <w:sz w:val="16"/>
                <w:szCs w:val="16"/>
              </w:rPr>
              <w:t>20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b/>
              </w:rPr>
            </w:pPr>
            <w:r w:rsidRPr="00EF65F0">
              <w:rPr>
                <w:rFonts w:ascii="Trebuchet MS" w:hAnsi="Trebuchet MS" w:cs="Trebuchet MS"/>
                <w:b/>
                <w:sz w:val="16"/>
                <w:szCs w:val="16"/>
              </w:rPr>
              <w:t>FONTE FINANZIAMENTO</w:t>
            </w:r>
          </w:p>
        </w:tc>
      </w:tr>
      <w:tr w:rsidR="00A46E35">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REALIZZAZIONE TRATTI RETE IDRICA</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625608">
            <w:pPr>
              <w:autoSpaceDE w:val="0"/>
              <w:autoSpaceDN w:val="0"/>
              <w:adjustRightInd w:val="0"/>
              <w:spacing w:after="0" w:line="240" w:lineRule="auto"/>
              <w:rPr>
                <w:rFonts w:ascii="Calibri" w:hAnsi="Calibri" w:cs="Calibri"/>
              </w:rPr>
            </w:pPr>
            <w:r>
              <w:rPr>
                <w:rFonts w:ascii="Calibri" w:hAnsi="Calibri" w:cs="Calibri"/>
              </w:rPr>
              <w:t>120.000,00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FONDI COMUNITARI</w:t>
            </w:r>
          </w:p>
        </w:tc>
      </w:tr>
      <w:tr w:rsidR="00A46E35">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EFFICIENTAMENTO ENERGETICO CASA COMUNALE</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625608" w:rsidP="00625608">
            <w:pPr>
              <w:autoSpaceDE w:val="0"/>
              <w:autoSpaceDN w:val="0"/>
              <w:adjustRightInd w:val="0"/>
              <w:spacing w:after="0" w:line="240" w:lineRule="auto"/>
              <w:rPr>
                <w:rFonts w:ascii="Calibri" w:hAnsi="Calibri" w:cs="Calibri"/>
              </w:rPr>
            </w:pPr>
            <w:r>
              <w:rPr>
                <w:rFonts w:ascii="Calibri" w:hAnsi="Calibri" w:cs="Calibri"/>
              </w:rPr>
              <w:t>150.000,00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C14EFD" w:rsidP="00625608">
            <w:pPr>
              <w:autoSpaceDE w:val="0"/>
              <w:autoSpaceDN w:val="0"/>
              <w:adjustRightInd w:val="0"/>
              <w:spacing w:after="0" w:line="240" w:lineRule="auto"/>
              <w:rPr>
                <w:rFonts w:ascii="Calibri" w:hAnsi="Calibri" w:cs="Calibri"/>
              </w:rPr>
            </w:pPr>
            <w:r>
              <w:rPr>
                <w:rFonts w:ascii="Calibri" w:hAnsi="Calibri" w:cs="Calibri"/>
              </w:rPr>
              <w:t>195.000,00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FONDI COMUNITARI</w:t>
            </w:r>
          </w:p>
        </w:tc>
      </w:tr>
      <w:tr w:rsidR="00A46E35" w:rsidTr="00EF65F0">
        <w:trPr>
          <w:trHeight w:val="97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MESSA IN SICUREZZA ED EFFICIENTAMENTO ENERGETICO IMPIANTO ILLUMINAZIONE PUBBLICA</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625608" w:rsidP="00625608">
            <w:pPr>
              <w:autoSpaceDE w:val="0"/>
              <w:autoSpaceDN w:val="0"/>
              <w:adjustRightInd w:val="0"/>
              <w:spacing w:after="0" w:line="240" w:lineRule="auto"/>
              <w:rPr>
                <w:rFonts w:ascii="Calibri" w:hAnsi="Calibri" w:cs="Calibri"/>
              </w:rPr>
            </w:pPr>
            <w:r>
              <w:rPr>
                <w:rFonts w:ascii="Calibri" w:hAnsi="Calibri" w:cs="Calibri"/>
              </w:rPr>
              <w:t>150.000,00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C14EFD" w:rsidP="00625608">
            <w:pPr>
              <w:autoSpaceDE w:val="0"/>
              <w:autoSpaceDN w:val="0"/>
              <w:adjustRightInd w:val="0"/>
              <w:spacing w:after="0" w:line="240" w:lineRule="auto"/>
              <w:rPr>
                <w:rFonts w:ascii="Calibri" w:hAnsi="Calibri" w:cs="Calibri"/>
              </w:rPr>
            </w:pPr>
            <w:r>
              <w:rPr>
                <w:rFonts w:ascii="Calibri" w:hAnsi="Calibri" w:cs="Calibri"/>
              </w:rPr>
              <w:t>150.000,00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FONDI COMUNITARI</w:t>
            </w:r>
          </w:p>
        </w:tc>
      </w:tr>
      <w:tr w:rsidR="00A46E35" w:rsidTr="00EF65F0">
        <w:trPr>
          <w:trHeight w:val="475"/>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PSR LAPPANO S. PIETRO IN GUARANO</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625608">
            <w:pPr>
              <w:autoSpaceDE w:val="0"/>
              <w:autoSpaceDN w:val="0"/>
              <w:adjustRightInd w:val="0"/>
              <w:spacing w:after="0" w:line="240" w:lineRule="auto"/>
              <w:rPr>
                <w:rFonts w:ascii="Calibri" w:hAnsi="Calibri" w:cs="Calibri"/>
              </w:rPr>
            </w:pPr>
            <w:r>
              <w:rPr>
                <w:rFonts w:ascii="Calibri" w:hAnsi="Calibri" w:cs="Calibri"/>
              </w:rPr>
              <w:t>125.000,00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C14EFD">
            <w:pPr>
              <w:autoSpaceDE w:val="0"/>
              <w:autoSpaceDN w:val="0"/>
              <w:adjustRightInd w:val="0"/>
              <w:spacing w:after="0" w:line="240" w:lineRule="auto"/>
              <w:rPr>
                <w:rFonts w:ascii="Calibri" w:hAnsi="Calibri" w:cs="Calibri"/>
              </w:rPr>
            </w:pPr>
            <w:r>
              <w:rPr>
                <w:rFonts w:ascii="Calibri" w:hAnsi="Calibri" w:cs="Calibri"/>
              </w:rPr>
              <w:t>75.000,00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FONDI COMUNITARI</w:t>
            </w:r>
          </w:p>
        </w:tc>
      </w:tr>
      <w:tr w:rsidR="00A46E35">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ADEGUAMENTO SISMICO CASA COMUNALE</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625608">
            <w:pPr>
              <w:autoSpaceDE w:val="0"/>
              <w:autoSpaceDN w:val="0"/>
              <w:adjustRightInd w:val="0"/>
              <w:spacing w:after="0" w:line="240" w:lineRule="auto"/>
              <w:rPr>
                <w:rFonts w:ascii="Calibri" w:hAnsi="Calibri" w:cs="Calibri"/>
              </w:rPr>
            </w:pPr>
            <w:r>
              <w:rPr>
                <w:rFonts w:ascii="Calibri" w:hAnsi="Calibri" w:cs="Calibri"/>
              </w:rPr>
              <w:t>80.000,00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r>
      <w:tr w:rsidR="00A46E35">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REALIZZAZIONE CINQUE ALLOGGI CENTRO STORICO</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FONDI REGIONALI</w:t>
            </w:r>
          </w:p>
        </w:tc>
      </w:tr>
      <w:tr w:rsidR="00A46E35">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CONSOLIDAMENTO CENTRO ABITATO VIA S FRANCESCO</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rsidP="00625608">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FONDI COMUNITARI</w:t>
            </w:r>
          </w:p>
        </w:tc>
      </w:tr>
      <w:tr w:rsidR="00A46E35">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VIABILITA'RURALE</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625608">
            <w:pPr>
              <w:autoSpaceDE w:val="0"/>
              <w:autoSpaceDN w:val="0"/>
              <w:adjustRightInd w:val="0"/>
              <w:spacing w:after="0" w:line="240" w:lineRule="auto"/>
              <w:rPr>
                <w:rFonts w:ascii="Calibri" w:hAnsi="Calibri" w:cs="Calibri"/>
              </w:rPr>
            </w:pPr>
            <w:r>
              <w:rPr>
                <w:rFonts w:ascii="Calibri" w:hAnsi="Calibri" w:cs="Calibri"/>
              </w:rPr>
              <w:t>250.000,00</w:t>
            </w: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r w:rsidRPr="00EF65F0">
              <w:rPr>
                <w:rFonts w:ascii="Trebuchet MS" w:hAnsi="Trebuchet MS" w:cs="Trebuchet MS"/>
                <w:sz w:val="16"/>
                <w:szCs w:val="16"/>
              </w:rPr>
              <w:t>FONDI COMUNITARI</w:t>
            </w:r>
          </w:p>
        </w:tc>
      </w:tr>
      <w:tr w:rsidR="00A46E35">
        <w:trPr>
          <w:trHeight w:val="1"/>
        </w:trPr>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c>
          <w:tcPr>
            <w:tcW w:w="1928" w:type="dxa"/>
            <w:tcBorders>
              <w:top w:val="single" w:sz="2" w:space="0" w:color="000000"/>
              <w:left w:val="single" w:sz="2" w:space="0" w:color="000000"/>
              <w:bottom w:val="single" w:sz="2" w:space="0" w:color="000000"/>
              <w:right w:val="single" w:sz="2" w:space="0" w:color="000000"/>
            </w:tcBorders>
            <w:shd w:val="clear" w:color="000000" w:fill="FFFFFF"/>
          </w:tcPr>
          <w:p w:rsidR="00A46E35" w:rsidRPr="00EF65F0" w:rsidRDefault="00A46E35">
            <w:pPr>
              <w:autoSpaceDE w:val="0"/>
              <w:autoSpaceDN w:val="0"/>
              <w:adjustRightInd w:val="0"/>
              <w:spacing w:after="0" w:line="240" w:lineRule="auto"/>
              <w:rPr>
                <w:rFonts w:ascii="Calibri" w:hAnsi="Calibri" w:cs="Calibri"/>
              </w:rPr>
            </w:pPr>
          </w:p>
        </w:tc>
      </w:tr>
    </w:tbl>
    <w:p w:rsidR="00A46E35" w:rsidRDefault="00A46E35" w:rsidP="00A46E35">
      <w:pPr>
        <w:autoSpaceDE w:val="0"/>
        <w:autoSpaceDN w:val="0"/>
        <w:adjustRightInd w:val="0"/>
        <w:spacing w:after="0" w:line="360" w:lineRule="auto"/>
        <w:ind w:firstLine="539"/>
        <w:rPr>
          <w:rFonts w:ascii="Calibri" w:hAnsi="Calibri" w:cs="Calibri"/>
        </w:rPr>
      </w:pPr>
    </w:p>
    <w:p w:rsidR="00C14EFD" w:rsidRDefault="00C14EFD" w:rsidP="00A46E35">
      <w:pPr>
        <w:autoSpaceDE w:val="0"/>
        <w:autoSpaceDN w:val="0"/>
        <w:adjustRightInd w:val="0"/>
        <w:spacing w:after="0" w:line="360" w:lineRule="auto"/>
        <w:ind w:firstLine="539"/>
        <w:rPr>
          <w:rFonts w:ascii="Calibri" w:hAnsi="Calibri" w:cs="Calibri"/>
        </w:rPr>
      </w:pPr>
      <w:r>
        <w:rPr>
          <w:rFonts w:ascii="Calibri" w:hAnsi="Calibri" w:cs="Calibri"/>
        </w:rPr>
        <w:t>La terza annualità non è stata ancora programmata e verrà inserita, con la redazione del piano triennale delle OO.PP. 2018/2020, in occasione della approvazione della nota di aggiornamento al DUP.</w:t>
      </w:r>
    </w:p>
    <w:p w:rsidR="00A46E35" w:rsidRDefault="00A46E35" w:rsidP="00A46E35">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Piano delle alienazioni e valorizzazioni patrimoniali</w:t>
      </w:r>
    </w:p>
    <w:p w:rsidR="00A46E35" w:rsidRDefault="00A46E35" w:rsidP="00A46E35">
      <w:pPr>
        <w:autoSpaceDE w:val="0"/>
        <w:autoSpaceDN w:val="0"/>
        <w:adjustRightInd w:val="0"/>
        <w:spacing w:after="0" w:line="360" w:lineRule="auto"/>
        <w:ind w:firstLine="539"/>
        <w:rPr>
          <w:rFonts w:ascii="Calibri" w:hAnsi="Calibri" w:cs="Calibri"/>
        </w:rPr>
      </w:pP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gestione del patrimonio immobiliare comunale è strettamente legata alle politiche istituzionali, sociali e di governo del territorio che il Comune intende perseguire ed è principalmente orientata alla valorizzazione dei beni demaniali e patrimoniali del comune.</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Nel rispetto dei principi di salvaguardia dell’interesse pubblico e mediante l’utilizzo di strumenti competitivi, la valorizzazione riguarda il riordino e la gestione del patrimonio immobiliare nonché l’individuazione dei beni, da dismettere, da alienare o da sottoporre ad altre e diverse forme di valorizzazione (concessione o locazione di lungo periodo, concessione di lavori pubblici, ecc...).</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lastRenderedPageBreak/>
        <w:t>L’attività è articolata con riferimento a due livelli strategici:</w:t>
      </w:r>
    </w:p>
    <w:p w:rsidR="00A46E35" w:rsidRDefault="00A46E35" w:rsidP="00A46E35">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valorizzazione del patrimonio anche attraverso la dismissione e l’alienazione dei beni, preordinata alla formazione d’entrata nel Bilancio del Comune, e alla messa a reddito dei cespiti;</w:t>
      </w:r>
    </w:p>
    <w:p w:rsidR="00A46E35" w:rsidRDefault="00A46E35" w:rsidP="00A46E35">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razionalizzazione e l’ottimizzazione gestionale sia dei beni strumentali all’esercizio delle proprie funzioni sia di quelli locati, concessi o goduti da terzi.</w:t>
      </w:r>
    </w:p>
    <w:p w:rsidR="00A46E35" w:rsidRDefault="00A46E35" w:rsidP="00A46E35">
      <w:pPr>
        <w:autoSpaceDE w:val="0"/>
        <w:autoSpaceDN w:val="0"/>
        <w:adjustRightInd w:val="0"/>
        <w:spacing w:after="0" w:line="360" w:lineRule="auto"/>
        <w:ind w:firstLine="539"/>
        <w:jc w:val="both"/>
        <w:rPr>
          <w:rFonts w:ascii="Calibri" w:hAnsi="Calibri" w:cs="Calibri"/>
        </w:rPr>
      </w:pP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Nell’ambito della conduzione della gestione, trova piena applicazione la legislazione nazionale che negli ultimi anni ha interessato i beni pubblici demaniali dello Stato e degli enti territoriali ovvero il D.L. 25/6/2008 n. 112 (convertito nella L.133 del 6/8/2008), che all’art. 58 indica le procedure per il riordino, gestione e valorizzazione del patrimonio di Regioni, Province, Comuni e altri Enti locali prevedendo, tra le diverse disposizioni, la redazione del piano delle alienazioni da allegare al bilancio di previsione, </w:t>
      </w:r>
      <w:proofErr w:type="spellStart"/>
      <w:r>
        <w:rPr>
          <w:rFonts w:ascii="Trebuchet MS" w:hAnsi="Trebuchet MS" w:cs="Trebuchet MS"/>
          <w:sz w:val="21"/>
          <w:szCs w:val="21"/>
        </w:rPr>
        <w:t>nonchè</w:t>
      </w:r>
      <w:proofErr w:type="spellEnd"/>
      <w:r>
        <w:rPr>
          <w:rFonts w:ascii="Trebuchet MS" w:hAnsi="Trebuchet MS" w:cs="Trebuchet MS"/>
          <w:sz w:val="21"/>
          <w:szCs w:val="21"/>
        </w:rPr>
        <w:t xml:space="preserve"> il </w:t>
      </w:r>
      <w:proofErr w:type="spellStart"/>
      <w:r>
        <w:rPr>
          <w:rFonts w:ascii="Trebuchet MS" w:hAnsi="Trebuchet MS" w:cs="Trebuchet MS"/>
          <w:sz w:val="21"/>
          <w:szCs w:val="21"/>
        </w:rPr>
        <w:t>D.Lgs</w:t>
      </w:r>
      <w:proofErr w:type="spellEnd"/>
      <w:r>
        <w:rPr>
          <w:rFonts w:ascii="Trebuchet MS" w:hAnsi="Trebuchet MS" w:cs="Trebuchet MS"/>
          <w:sz w:val="21"/>
          <w:szCs w:val="21"/>
        </w:rPr>
        <w:t xml:space="preserve"> 28/5/2010, n.85, il </w:t>
      </w:r>
      <w:proofErr w:type="spellStart"/>
      <w:r>
        <w:rPr>
          <w:rFonts w:ascii="Trebuchet MS" w:hAnsi="Trebuchet MS" w:cs="Trebuchet MS"/>
          <w:sz w:val="21"/>
          <w:szCs w:val="21"/>
        </w:rPr>
        <w:t>cosìddetto</w:t>
      </w:r>
      <w:proofErr w:type="spellEnd"/>
      <w:r>
        <w:rPr>
          <w:rFonts w:ascii="Trebuchet MS" w:hAnsi="Trebuchet MS" w:cs="Trebuchet MS"/>
          <w:sz w:val="21"/>
          <w:szCs w:val="21"/>
        </w:rPr>
        <w:t xml:space="preserve"> Federalismo demaniale, riguardante l’attribuzione a Comuni, Province e Regioni del patrimonio dello Stato.</w:t>
      </w:r>
    </w:p>
    <w:p w:rsidR="00A46E35" w:rsidRDefault="00A46E35" w:rsidP="00A46E35">
      <w:pPr>
        <w:autoSpaceDE w:val="0"/>
        <w:autoSpaceDN w:val="0"/>
        <w:adjustRightInd w:val="0"/>
        <w:spacing w:after="0" w:line="360" w:lineRule="auto"/>
        <w:ind w:firstLine="539"/>
        <w:rPr>
          <w:rFonts w:ascii="Calibri" w:hAnsi="Calibri" w:cs="Calibri"/>
        </w:rPr>
      </w:pPr>
    </w:p>
    <w:tbl>
      <w:tblPr>
        <w:tblW w:w="5000" w:type="pct"/>
        <w:tblCellMar>
          <w:left w:w="55" w:type="dxa"/>
          <w:right w:w="55" w:type="dxa"/>
        </w:tblCellMar>
        <w:tblLook w:val="0000"/>
      </w:tblPr>
      <w:tblGrid>
        <w:gridCol w:w="1683"/>
        <w:gridCol w:w="742"/>
        <w:gridCol w:w="4735"/>
        <w:gridCol w:w="1684"/>
        <w:gridCol w:w="1238"/>
      </w:tblGrid>
      <w:tr w:rsidR="00A46E35" w:rsidTr="00965797">
        <w:trPr>
          <w:trHeight w:val="1"/>
        </w:trPr>
        <w:tc>
          <w:tcPr>
            <w:tcW w:w="835" w:type="pct"/>
            <w:tcBorders>
              <w:top w:val="single" w:sz="2" w:space="0" w:color="CCCCCC"/>
              <w:left w:val="single" w:sz="2" w:space="0" w:color="CCCCCC"/>
              <w:bottom w:val="single" w:sz="2" w:space="0" w:color="000000"/>
              <w:right w:val="single" w:sz="2" w:space="0" w:color="000000"/>
            </w:tcBorders>
            <w:shd w:val="clear" w:color="000000" w:fill="FFFFFF"/>
          </w:tcPr>
          <w:p w:rsidR="00A46E35" w:rsidRDefault="00A46E35">
            <w:pPr>
              <w:autoSpaceDE w:val="0"/>
              <w:autoSpaceDN w:val="0"/>
              <w:adjustRightInd w:val="0"/>
              <w:spacing w:after="0" w:line="240" w:lineRule="auto"/>
              <w:jc w:val="center"/>
              <w:rPr>
                <w:rFonts w:ascii="Calibri" w:hAnsi="Calibri" w:cs="Calibri"/>
              </w:rPr>
            </w:pPr>
          </w:p>
        </w:tc>
        <w:tc>
          <w:tcPr>
            <w:tcW w:w="368" w:type="pct"/>
            <w:tcBorders>
              <w:top w:val="single" w:sz="2" w:space="0" w:color="CCCCCC"/>
              <w:left w:val="single" w:sz="2" w:space="0" w:color="000000"/>
              <w:bottom w:val="single" w:sz="2" w:space="0" w:color="000000"/>
              <w:right w:val="single" w:sz="2" w:space="0" w:color="000000"/>
            </w:tcBorders>
            <w:shd w:val="clear" w:color="000000" w:fill="FFFFFF"/>
          </w:tcPr>
          <w:p w:rsidR="00A46E35" w:rsidRDefault="00A46E35">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N.</w:t>
            </w:r>
          </w:p>
        </w:tc>
        <w:tc>
          <w:tcPr>
            <w:tcW w:w="2348" w:type="pct"/>
            <w:tcBorders>
              <w:top w:val="single" w:sz="2" w:space="0" w:color="CCCCCC"/>
              <w:left w:val="single" w:sz="2" w:space="0" w:color="CCCCCC"/>
              <w:bottom w:val="single" w:sz="2" w:space="0" w:color="000000"/>
              <w:right w:val="single" w:sz="2" w:space="0" w:color="000000"/>
            </w:tcBorders>
            <w:shd w:val="clear" w:color="000000" w:fill="FFFFFF"/>
          </w:tcPr>
          <w:p w:rsidR="00A46E35" w:rsidRDefault="00A46E35">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Immobile</w:t>
            </w:r>
          </w:p>
        </w:tc>
        <w:tc>
          <w:tcPr>
            <w:tcW w:w="835" w:type="pct"/>
            <w:tcBorders>
              <w:top w:val="single" w:sz="2" w:space="0" w:color="CCCCCC"/>
              <w:left w:val="single" w:sz="2" w:space="0" w:color="CCCCCC"/>
              <w:bottom w:val="single" w:sz="2" w:space="0" w:color="000000"/>
              <w:right w:val="single" w:sz="2" w:space="0" w:color="000000"/>
            </w:tcBorders>
            <w:shd w:val="clear" w:color="000000" w:fill="FFFFFF"/>
          </w:tcPr>
          <w:p w:rsidR="00A46E35" w:rsidRDefault="00A46E35">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Valore in euro</w:t>
            </w:r>
          </w:p>
        </w:tc>
        <w:tc>
          <w:tcPr>
            <w:tcW w:w="614" w:type="pct"/>
            <w:tcBorders>
              <w:top w:val="single" w:sz="2" w:space="0" w:color="CCCCCC"/>
              <w:left w:val="single" w:sz="2" w:space="0" w:color="CCCCCC"/>
              <w:bottom w:val="single" w:sz="2" w:space="0" w:color="000000"/>
              <w:right w:val="single" w:sz="2" w:space="0" w:color="CCCCCC"/>
            </w:tcBorders>
            <w:shd w:val="clear" w:color="000000" w:fill="FFFFFF"/>
          </w:tcPr>
          <w:p w:rsidR="00A46E35" w:rsidRDefault="00A46E35">
            <w:pPr>
              <w:autoSpaceDE w:val="0"/>
              <w:autoSpaceDN w:val="0"/>
              <w:adjustRightInd w:val="0"/>
              <w:spacing w:after="0" w:line="240" w:lineRule="auto"/>
              <w:jc w:val="center"/>
              <w:rPr>
                <w:rFonts w:ascii="Calibri" w:hAnsi="Calibri" w:cs="Calibri"/>
              </w:rPr>
            </w:pPr>
            <w:r>
              <w:rPr>
                <w:rFonts w:ascii="Trebuchet MS" w:hAnsi="Trebuchet MS" w:cs="Trebuchet MS"/>
                <w:b/>
                <w:bCs/>
                <w:sz w:val="16"/>
                <w:szCs w:val="16"/>
              </w:rPr>
              <w:t>Anno di prevista alienazione</w:t>
            </w:r>
          </w:p>
        </w:tc>
      </w:tr>
      <w:tr w:rsidR="00A46E35" w:rsidTr="00965797">
        <w:trPr>
          <w:trHeight w:val="6"/>
        </w:trPr>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p>
        </w:tc>
        <w:tc>
          <w:tcPr>
            <w:tcW w:w="368" w:type="pct"/>
            <w:tcBorders>
              <w:top w:val="single" w:sz="2" w:space="0" w:color="000000"/>
              <w:left w:val="single" w:sz="2" w:space="0" w:color="000000"/>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C1</w:t>
            </w:r>
          </w:p>
        </w:tc>
        <w:tc>
          <w:tcPr>
            <w:tcW w:w="2348"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C2</w:t>
            </w:r>
          </w:p>
        </w:tc>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C3</w:t>
            </w:r>
          </w:p>
        </w:tc>
        <w:tc>
          <w:tcPr>
            <w:tcW w:w="614" w:type="pct"/>
            <w:tcBorders>
              <w:top w:val="single" w:sz="2" w:space="0" w:color="000000"/>
              <w:left w:val="single" w:sz="2" w:space="0" w:color="CCCCCC"/>
              <w:bottom w:val="single" w:sz="2" w:space="0" w:color="CCCCCC"/>
              <w:right w:val="single" w:sz="2" w:space="0" w:color="CCCCCC"/>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C4</w:t>
            </w:r>
          </w:p>
        </w:tc>
      </w:tr>
      <w:tr w:rsidR="00A46E35" w:rsidTr="00965797">
        <w:trPr>
          <w:trHeight w:val="1"/>
        </w:trPr>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R1</w:t>
            </w:r>
          </w:p>
        </w:tc>
        <w:tc>
          <w:tcPr>
            <w:tcW w:w="368" w:type="pct"/>
            <w:tcBorders>
              <w:top w:val="single" w:sz="2" w:space="0" w:color="000000"/>
              <w:left w:val="single" w:sz="2" w:space="0" w:color="000000"/>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1</w:t>
            </w:r>
          </w:p>
        </w:tc>
        <w:tc>
          <w:tcPr>
            <w:tcW w:w="2348"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 xml:space="preserve">ABITAZIONE </w:t>
            </w:r>
            <w:proofErr w:type="spellStart"/>
            <w:r>
              <w:rPr>
                <w:rFonts w:ascii="Trebuchet MS" w:hAnsi="Trebuchet MS" w:cs="Trebuchet MS"/>
                <w:sz w:val="16"/>
                <w:szCs w:val="16"/>
              </w:rPr>
              <w:t>DI</w:t>
            </w:r>
            <w:proofErr w:type="spellEnd"/>
            <w:r>
              <w:rPr>
                <w:rFonts w:ascii="Trebuchet MS" w:hAnsi="Trebuchet MS" w:cs="Trebuchet MS"/>
                <w:sz w:val="16"/>
                <w:szCs w:val="16"/>
              </w:rPr>
              <w:t xml:space="preserve"> TIPO POPOLARE VIA VUCCHERIA N. 5</w:t>
            </w:r>
          </w:p>
        </w:tc>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12.800,00</w:t>
            </w:r>
          </w:p>
        </w:tc>
        <w:tc>
          <w:tcPr>
            <w:tcW w:w="614" w:type="pct"/>
            <w:tcBorders>
              <w:top w:val="single" w:sz="2" w:space="0" w:color="000000"/>
              <w:left w:val="single" w:sz="2" w:space="0" w:color="CCCCCC"/>
              <w:bottom w:val="single" w:sz="2" w:space="0" w:color="CCCCCC"/>
              <w:right w:val="single" w:sz="2" w:space="0" w:color="CCCCCC"/>
            </w:tcBorders>
            <w:shd w:val="clear" w:color="000000" w:fill="FFFFFF"/>
          </w:tcPr>
          <w:p w:rsidR="00A46E35" w:rsidRDefault="00C14EFD">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2018</w:t>
            </w:r>
          </w:p>
        </w:tc>
      </w:tr>
      <w:tr w:rsidR="00A46E35" w:rsidTr="00965797">
        <w:trPr>
          <w:trHeight w:val="1"/>
        </w:trPr>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R2</w:t>
            </w:r>
          </w:p>
        </w:tc>
        <w:tc>
          <w:tcPr>
            <w:tcW w:w="368" w:type="pct"/>
            <w:tcBorders>
              <w:top w:val="single" w:sz="2" w:space="0" w:color="000000"/>
              <w:left w:val="single" w:sz="2" w:space="0" w:color="000000"/>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2</w:t>
            </w:r>
          </w:p>
        </w:tc>
        <w:tc>
          <w:tcPr>
            <w:tcW w:w="2348"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 xml:space="preserve">ABITAZIONE </w:t>
            </w:r>
            <w:proofErr w:type="spellStart"/>
            <w:r>
              <w:rPr>
                <w:rFonts w:ascii="Trebuchet MS" w:hAnsi="Trebuchet MS" w:cs="Trebuchet MS"/>
                <w:sz w:val="16"/>
                <w:szCs w:val="16"/>
              </w:rPr>
              <w:t>DI</w:t>
            </w:r>
            <w:proofErr w:type="spellEnd"/>
            <w:r>
              <w:rPr>
                <w:rFonts w:ascii="Trebuchet MS" w:hAnsi="Trebuchet MS" w:cs="Trebuchet MS"/>
                <w:sz w:val="16"/>
                <w:szCs w:val="16"/>
              </w:rPr>
              <w:t xml:space="preserve"> TIPO POPOLARE VIA VUCCHERIA N. 5</w:t>
            </w:r>
          </w:p>
        </w:tc>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11.300,00</w:t>
            </w:r>
          </w:p>
        </w:tc>
        <w:tc>
          <w:tcPr>
            <w:tcW w:w="614" w:type="pct"/>
            <w:tcBorders>
              <w:top w:val="single" w:sz="2" w:space="0" w:color="000000"/>
              <w:left w:val="single" w:sz="2" w:space="0" w:color="CCCCCC"/>
              <w:bottom w:val="single" w:sz="2" w:space="0" w:color="CCCCCC"/>
              <w:right w:val="single" w:sz="2" w:space="0" w:color="CCCCCC"/>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201</w:t>
            </w:r>
            <w:r w:rsidR="00C14EFD">
              <w:rPr>
                <w:rFonts w:ascii="Trebuchet MS" w:hAnsi="Trebuchet MS" w:cs="Trebuchet MS"/>
                <w:sz w:val="16"/>
                <w:szCs w:val="16"/>
              </w:rPr>
              <w:t>8</w:t>
            </w:r>
          </w:p>
        </w:tc>
      </w:tr>
      <w:tr w:rsidR="00A46E35" w:rsidTr="00965797">
        <w:trPr>
          <w:trHeight w:val="1"/>
        </w:trPr>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R3</w:t>
            </w:r>
          </w:p>
        </w:tc>
        <w:tc>
          <w:tcPr>
            <w:tcW w:w="368" w:type="pct"/>
            <w:tcBorders>
              <w:top w:val="single" w:sz="2" w:space="0" w:color="000000"/>
              <w:left w:val="single" w:sz="2" w:space="0" w:color="000000"/>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3</w:t>
            </w:r>
          </w:p>
        </w:tc>
        <w:tc>
          <w:tcPr>
            <w:tcW w:w="2348"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 xml:space="preserve">ABITAZIONE </w:t>
            </w:r>
            <w:proofErr w:type="spellStart"/>
            <w:r>
              <w:rPr>
                <w:rFonts w:ascii="Trebuchet MS" w:hAnsi="Trebuchet MS" w:cs="Trebuchet MS"/>
                <w:sz w:val="16"/>
                <w:szCs w:val="16"/>
              </w:rPr>
              <w:t>DI</w:t>
            </w:r>
            <w:proofErr w:type="spellEnd"/>
            <w:r>
              <w:rPr>
                <w:rFonts w:ascii="Trebuchet MS" w:hAnsi="Trebuchet MS" w:cs="Trebuchet MS"/>
                <w:sz w:val="16"/>
                <w:szCs w:val="16"/>
              </w:rPr>
              <w:t xml:space="preserve"> TIPO POPOLARE VIA NAPOLI</w:t>
            </w:r>
          </w:p>
        </w:tc>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20.986,23</w:t>
            </w:r>
          </w:p>
        </w:tc>
        <w:tc>
          <w:tcPr>
            <w:tcW w:w="614" w:type="pct"/>
            <w:tcBorders>
              <w:top w:val="single" w:sz="2" w:space="0" w:color="000000"/>
              <w:left w:val="single" w:sz="2" w:space="0" w:color="CCCCCC"/>
              <w:bottom w:val="single" w:sz="2" w:space="0" w:color="CCCCCC"/>
              <w:right w:val="single" w:sz="2" w:space="0" w:color="CCCCCC"/>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201</w:t>
            </w:r>
            <w:r w:rsidR="00C14EFD">
              <w:rPr>
                <w:rFonts w:ascii="Trebuchet MS" w:hAnsi="Trebuchet MS" w:cs="Trebuchet MS"/>
                <w:sz w:val="16"/>
                <w:szCs w:val="16"/>
              </w:rPr>
              <w:t>8</w:t>
            </w:r>
          </w:p>
        </w:tc>
      </w:tr>
      <w:tr w:rsidR="00A46E35" w:rsidTr="00965797">
        <w:trPr>
          <w:trHeight w:val="1"/>
        </w:trPr>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p>
        </w:tc>
        <w:tc>
          <w:tcPr>
            <w:tcW w:w="368" w:type="pct"/>
            <w:tcBorders>
              <w:top w:val="single" w:sz="2" w:space="0" w:color="000000"/>
              <w:left w:val="single" w:sz="2" w:space="0" w:color="000000"/>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4</w:t>
            </w:r>
          </w:p>
        </w:tc>
        <w:tc>
          <w:tcPr>
            <w:tcW w:w="2348"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 xml:space="preserve">ABITAZIONE </w:t>
            </w:r>
            <w:proofErr w:type="spellStart"/>
            <w:r>
              <w:rPr>
                <w:rFonts w:ascii="Trebuchet MS" w:hAnsi="Trebuchet MS" w:cs="Trebuchet MS"/>
                <w:sz w:val="16"/>
                <w:szCs w:val="16"/>
              </w:rPr>
              <w:t>DI</w:t>
            </w:r>
            <w:proofErr w:type="spellEnd"/>
            <w:r>
              <w:rPr>
                <w:rFonts w:ascii="Trebuchet MS" w:hAnsi="Trebuchet MS" w:cs="Trebuchet MS"/>
                <w:sz w:val="16"/>
                <w:szCs w:val="16"/>
              </w:rPr>
              <w:t xml:space="preserve"> TIPO POPOLARE VIA ROMA</w:t>
            </w:r>
          </w:p>
        </w:tc>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23.318,03</w:t>
            </w:r>
          </w:p>
        </w:tc>
        <w:tc>
          <w:tcPr>
            <w:tcW w:w="614" w:type="pct"/>
            <w:tcBorders>
              <w:top w:val="single" w:sz="2" w:space="0" w:color="000000"/>
              <w:left w:val="single" w:sz="2" w:space="0" w:color="CCCCCC"/>
              <w:bottom w:val="single" w:sz="2" w:space="0" w:color="CCCCCC"/>
              <w:right w:val="single" w:sz="2" w:space="0" w:color="CCCCCC"/>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201</w:t>
            </w:r>
            <w:r w:rsidR="00C14EFD">
              <w:rPr>
                <w:rFonts w:ascii="Trebuchet MS" w:hAnsi="Trebuchet MS" w:cs="Trebuchet MS"/>
                <w:sz w:val="16"/>
                <w:szCs w:val="16"/>
              </w:rPr>
              <w:t>8</w:t>
            </w:r>
          </w:p>
        </w:tc>
      </w:tr>
      <w:tr w:rsidR="00A46E35" w:rsidTr="00965797">
        <w:trPr>
          <w:trHeight w:val="1"/>
        </w:trPr>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p>
        </w:tc>
        <w:tc>
          <w:tcPr>
            <w:tcW w:w="368" w:type="pct"/>
            <w:tcBorders>
              <w:top w:val="single" w:sz="2" w:space="0" w:color="000000"/>
              <w:left w:val="single" w:sz="2" w:space="0" w:color="000000"/>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5</w:t>
            </w:r>
          </w:p>
        </w:tc>
        <w:tc>
          <w:tcPr>
            <w:tcW w:w="2348"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 xml:space="preserve">ABITAZIONE </w:t>
            </w:r>
            <w:proofErr w:type="spellStart"/>
            <w:r>
              <w:rPr>
                <w:rFonts w:ascii="Trebuchet MS" w:hAnsi="Trebuchet MS" w:cs="Trebuchet MS"/>
                <w:sz w:val="16"/>
                <w:szCs w:val="16"/>
              </w:rPr>
              <w:t>DI</w:t>
            </w:r>
            <w:proofErr w:type="spellEnd"/>
            <w:r>
              <w:rPr>
                <w:rFonts w:ascii="Trebuchet MS" w:hAnsi="Trebuchet MS" w:cs="Trebuchet MS"/>
                <w:sz w:val="16"/>
                <w:szCs w:val="16"/>
              </w:rPr>
              <w:t xml:space="preserve"> TIPO POPOLARE VIA ROMA</w:t>
            </w:r>
          </w:p>
        </w:tc>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18.654,42</w:t>
            </w:r>
          </w:p>
        </w:tc>
        <w:tc>
          <w:tcPr>
            <w:tcW w:w="614" w:type="pct"/>
            <w:tcBorders>
              <w:top w:val="single" w:sz="2" w:space="0" w:color="000000"/>
              <w:left w:val="single" w:sz="2" w:space="0" w:color="CCCCCC"/>
              <w:bottom w:val="single" w:sz="2" w:space="0" w:color="CCCCCC"/>
              <w:right w:val="single" w:sz="2" w:space="0" w:color="CCCCCC"/>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201</w:t>
            </w:r>
            <w:r w:rsidR="00C14EFD">
              <w:rPr>
                <w:rFonts w:ascii="Trebuchet MS" w:hAnsi="Trebuchet MS" w:cs="Trebuchet MS"/>
                <w:sz w:val="16"/>
                <w:szCs w:val="16"/>
              </w:rPr>
              <w:t>8</w:t>
            </w:r>
          </w:p>
        </w:tc>
      </w:tr>
      <w:tr w:rsidR="00A46E35" w:rsidTr="00965797">
        <w:trPr>
          <w:trHeight w:val="1"/>
        </w:trPr>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p>
        </w:tc>
        <w:tc>
          <w:tcPr>
            <w:tcW w:w="368" w:type="pct"/>
            <w:tcBorders>
              <w:top w:val="single" w:sz="2" w:space="0" w:color="000000"/>
              <w:left w:val="single" w:sz="2" w:space="0" w:color="000000"/>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6</w:t>
            </w:r>
          </w:p>
        </w:tc>
        <w:tc>
          <w:tcPr>
            <w:tcW w:w="2348"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 xml:space="preserve">ABITAZIONE </w:t>
            </w:r>
            <w:proofErr w:type="spellStart"/>
            <w:r>
              <w:rPr>
                <w:rFonts w:ascii="Trebuchet MS" w:hAnsi="Trebuchet MS" w:cs="Trebuchet MS"/>
                <w:sz w:val="16"/>
                <w:szCs w:val="16"/>
              </w:rPr>
              <w:t>DI</w:t>
            </w:r>
            <w:proofErr w:type="spellEnd"/>
            <w:r>
              <w:rPr>
                <w:rFonts w:ascii="Trebuchet MS" w:hAnsi="Trebuchet MS" w:cs="Trebuchet MS"/>
                <w:sz w:val="16"/>
                <w:szCs w:val="16"/>
              </w:rPr>
              <w:t xml:space="preserve"> TIPO POPOLARE VIA GARIBALDI</w:t>
            </w:r>
          </w:p>
        </w:tc>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16.322,62</w:t>
            </w:r>
          </w:p>
        </w:tc>
        <w:tc>
          <w:tcPr>
            <w:tcW w:w="614" w:type="pct"/>
            <w:tcBorders>
              <w:top w:val="single" w:sz="2" w:space="0" w:color="000000"/>
              <w:left w:val="single" w:sz="2" w:space="0" w:color="CCCCCC"/>
              <w:bottom w:val="single" w:sz="2" w:space="0" w:color="CCCCCC"/>
              <w:right w:val="single" w:sz="2" w:space="0" w:color="CCCCCC"/>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201</w:t>
            </w:r>
            <w:r w:rsidR="00C14EFD">
              <w:rPr>
                <w:rFonts w:ascii="Trebuchet MS" w:hAnsi="Trebuchet MS" w:cs="Trebuchet MS"/>
                <w:sz w:val="16"/>
                <w:szCs w:val="16"/>
              </w:rPr>
              <w:t>8</w:t>
            </w:r>
          </w:p>
        </w:tc>
      </w:tr>
      <w:tr w:rsidR="00A46E35" w:rsidTr="00965797">
        <w:trPr>
          <w:trHeight w:val="1"/>
        </w:trPr>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p>
        </w:tc>
        <w:tc>
          <w:tcPr>
            <w:tcW w:w="368" w:type="pct"/>
            <w:tcBorders>
              <w:top w:val="single" w:sz="2" w:space="0" w:color="000000"/>
              <w:left w:val="single" w:sz="2" w:space="0" w:color="000000"/>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7</w:t>
            </w:r>
          </w:p>
        </w:tc>
        <w:tc>
          <w:tcPr>
            <w:tcW w:w="2348"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FABBRICATO RURALE E RELATIVO TERRENO COZZO DEL CUOCO</w:t>
            </w:r>
          </w:p>
        </w:tc>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35.000,00</w:t>
            </w:r>
          </w:p>
        </w:tc>
        <w:tc>
          <w:tcPr>
            <w:tcW w:w="614" w:type="pct"/>
            <w:tcBorders>
              <w:top w:val="single" w:sz="2" w:space="0" w:color="000000"/>
              <w:left w:val="single" w:sz="2" w:space="0" w:color="CCCCCC"/>
              <w:bottom w:val="single" w:sz="2" w:space="0" w:color="CCCCCC"/>
              <w:right w:val="single" w:sz="2" w:space="0" w:color="CCCCCC"/>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2018</w:t>
            </w:r>
          </w:p>
        </w:tc>
      </w:tr>
      <w:tr w:rsidR="00A46E35" w:rsidTr="00965797">
        <w:trPr>
          <w:trHeight w:val="1"/>
        </w:trPr>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p>
        </w:tc>
        <w:tc>
          <w:tcPr>
            <w:tcW w:w="368" w:type="pct"/>
            <w:tcBorders>
              <w:top w:val="single" w:sz="2" w:space="0" w:color="000000"/>
              <w:left w:val="single" w:sz="2" w:space="0" w:color="000000"/>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8</w:t>
            </w:r>
          </w:p>
        </w:tc>
        <w:tc>
          <w:tcPr>
            <w:tcW w:w="2348"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FABBRICATO RURALE E CIRC TERRENO LOC FEROLETO</w:t>
            </w:r>
          </w:p>
        </w:tc>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20.000,00</w:t>
            </w:r>
          </w:p>
        </w:tc>
        <w:tc>
          <w:tcPr>
            <w:tcW w:w="614" w:type="pct"/>
            <w:tcBorders>
              <w:top w:val="single" w:sz="2" w:space="0" w:color="000000"/>
              <w:left w:val="single" w:sz="2" w:space="0" w:color="CCCCCC"/>
              <w:bottom w:val="single" w:sz="2" w:space="0" w:color="CCCCCC"/>
              <w:right w:val="single" w:sz="2" w:space="0" w:color="CCCCCC"/>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2018</w:t>
            </w:r>
          </w:p>
        </w:tc>
      </w:tr>
      <w:tr w:rsidR="00A46E35" w:rsidTr="00965797">
        <w:trPr>
          <w:trHeight w:val="1"/>
        </w:trPr>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p>
        </w:tc>
        <w:tc>
          <w:tcPr>
            <w:tcW w:w="368" w:type="pct"/>
            <w:tcBorders>
              <w:top w:val="single" w:sz="2" w:space="0" w:color="000000"/>
              <w:left w:val="single" w:sz="2" w:space="0" w:color="000000"/>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9</w:t>
            </w:r>
          </w:p>
        </w:tc>
        <w:tc>
          <w:tcPr>
            <w:tcW w:w="2348"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rPr>
                <w:rFonts w:ascii="Calibri" w:hAnsi="Calibri" w:cs="Calibri"/>
              </w:rPr>
            </w:pPr>
            <w:r>
              <w:rPr>
                <w:rFonts w:ascii="Trebuchet MS" w:hAnsi="Trebuchet MS" w:cs="Trebuchet MS"/>
                <w:sz w:val="16"/>
                <w:szCs w:val="16"/>
              </w:rPr>
              <w:t xml:space="preserve">FABBRICATO RURALE E CASERMA FORESTALE LOC RE </w:t>
            </w:r>
            <w:proofErr w:type="spellStart"/>
            <w:r>
              <w:rPr>
                <w:rFonts w:ascii="Trebuchet MS" w:hAnsi="Trebuchet MS" w:cs="Trebuchet MS"/>
                <w:sz w:val="16"/>
                <w:szCs w:val="16"/>
              </w:rPr>
              <w:t>DI</w:t>
            </w:r>
            <w:proofErr w:type="spellEnd"/>
            <w:r>
              <w:rPr>
                <w:rFonts w:ascii="Trebuchet MS" w:hAnsi="Trebuchet MS" w:cs="Trebuchet MS"/>
                <w:sz w:val="16"/>
                <w:szCs w:val="16"/>
              </w:rPr>
              <w:t xml:space="preserve"> LUPO</w:t>
            </w:r>
          </w:p>
        </w:tc>
        <w:tc>
          <w:tcPr>
            <w:tcW w:w="835" w:type="pct"/>
            <w:tcBorders>
              <w:top w:val="single" w:sz="2" w:space="0" w:color="000000"/>
              <w:left w:val="single" w:sz="2" w:space="0" w:color="CCCCCC"/>
              <w:bottom w:val="single" w:sz="2" w:space="0" w:color="CCCCCC"/>
              <w:right w:val="single" w:sz="2" w:space="0" w:color="000000"/>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15.000,00</w:t>
            </w:r>
          </w:p>
        </w:tc>
        <w:tc>
          <w:tcPr>
            <w:tcW w:w="614" w:type="pct"/>
            <w:tcBorders>
              <w:top w:val="single" w:sz="2" w:space="0" w:color="000000"/>
              <w:left w:val="single" w:sz="2" w:space="0" w:color="CCCCCC"/>
              <w:bottom w:val="single" w:sz="2" w:space="0" w:color="CCCCCC"/>
              <w:right w:val="single" w:sz="2" w:space="0" w:color="CCCCCC"/>
            </w:tcBorders>
            <w:shd w:val="clear" w:color="000000" w:fill="FFFFFF"/>
          </w:tcPr>
          <w:p w:rsidR="00A46E35" w:rsidRDefault="00A46E35">
            <w:pPr>
              <w:autoSpaceDE w:val="0"/>
              <w:autoSpaceDN w:val="0"/>
              <w:adjustRightInd w:val="0"/>
              <w:spacing w:after="0" w:line="240" w:lineRule="auto"/>
              <w:jc w:val="right"/>
              <w:rPr>
                <w:rFonts w:ascii="Calibri" w:hAnsi="Calibri" w:cs="Calibri"/>
              </w:rPr>
            </w:pPr>
            <w:r>
              <w:rPr>
                <w:rFonts w:ascii="Trebuchet MS" w:hAnsi="Trebuchet MS" w:cs="Trebuchet MS"/>
                <w:sz w:val="16"/>
                <w:szCs w:val="16"/>
              </w:rPr>
              <w:t>2018</w:t>
            </w:r>
          </w:p>
        </w:tc>
      </w:tr>
    </w:tbl>
    <w:p w:rsidR="00A46E35" w:rsidRDefault="00A46E35" w:rsidP="00A46E35">
      <w:pPr>
        <w:autoSpaceDE w:val="0"/>
        <w:autoSpaceDN w:val="0"/>
        <w:adjustRightInd w:val="0"/>
        <w:spacing w:before="113" w:after="397" w:line="240" w:lineRule="auto"/>
        <w:rPr>
          <w:rFonts w:ascii="Trebuchet MS" w:hAnsi="Trebuchet MS" w:cs="Trebuchet MS"/>
          <w:i/>
          <w:iCs/>
          <w:color w:val="847764"/>
          <w:sz w:val="18"/>
          <w:szCs w:val="18"/>
        </w:rPr>
      </w:pPr>
      <w:r>
        <w:rPr>
          <w:rFonts w:ascii="Trebuchet MS" w:hAnsi="Trebuchet MS" w:cs="Trebuchet MS"/>
          <w:i/>
          <w:iCs/>
          <w:color w:val="847764"/>
          <w:sz w:val="18"/>
          <w:szCs w:val="18"/>
        </w:rPr>
        <w:t>Tabella : Piano delle alienazioni</w:t>
      </w:r>
    </w:p>
    <w:p w:rsidR="00A46E35" w:rsidRDefault="00C14EFD" w:rsidP="00A46E35">
      <w:pPr>
        <w:autoSpaceDE w:val="0"/>
        <w:autoSpaceDN w:val="0"/>
        <w:adjustRightInd w:val="0"/>
        <w:spacing w:after="0" w:line="360" w:lineRule="auto"/>
        <w:ind w:firstLine="539"/>
        <w:rPr>
          <w:rFonts w:ascii="Calibri" w:hAnsi="Calibri" w:cs="Calibri"/>
        </w:rPr>
      </w:pPr>
      <w:r>
        <w:rPr>
          <w:rFonts w:ascii="Calibri" w:hAnsi="Calibri" w:cs="Calibri"/>
        </w:rPr>
        <w:t>Il nuovo piano di individuazione dell’elenco dei beni immobili suscettibili di alienazione o valorizzazione, per come avvenuto anche nel corso dello scorso esercizio, verrà redatto in tempo utile per la redazione della nota di aggiornamento al DUP.</w:t>
      </w:r>
    </w:p>
    <w:p w:rsidR="00A46E35" w:rsidRDefault="00A46E35" w:rsidP="00A46E35">
      <w:pPr>
        <w:autoSpaceDE w:val="0"/>
        <w:autoSpaceDN w:val="0"/>
        <w:adjustRightInd w:val="0"/>
        <w:spacing w:before="113" w:after="227" w:line="240" w:lineRule="auto"/>
        <w:rPr>
          <w:rFonts w:ascii="Trebuchet MS" w:hAnsi="Trebuchet MS" w:cs="Trebuchet MS"/>
          <w:color w:val="000000"/>
          <w:sz w:val="32"/>
          <w:szCs w:val="32"/>
          <w:highlight w:val="white"/>
        </w:rPr>
      </w:pPr>
      <w:r>
        <w:rPr>
          <w:rFonts w:ascii="Trebuchet MS" w:hAnsi="Trebuchet MS" w:cs="Trebuchet MS"/>
          <w:color w:val="000000"/>
          <w:sz w:val="32"/>
          <w:szCs w:val="32"/>
          <w:highlight w:val="white"/>
        </w:rPr>
        <w:t>Programmazione del fabbisogno di personale</w:t>
      </w:r>
    </w:p>
    <w:p w:rsidR="00A46E35" w:rsidRDefault="00A46E35" w:rsidP="00A46E35">
      <w:pPr>
        <w:autoSpaceDE w:val="0"/>
        <w:autoSpaceDN w:val="0"/>
        <w:adjustRightInd w:val="0"/>
        <w:spacing w:after="0" w:line="360" w:lineRule="auto"/>
        <w:ind w:firstLine="539"/>
        <w:rPr>
          <w:rFonts w:ascii="Calibri" w:hAnsi="Calibri" w:cs="Calibri"/>
        </w:rPr>
      </w:pP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L’art. 39 della Legge n. 449/1997 stabilisce che le Pubbliche Amministrazioni, al fine di assicurare funzionalità ed ottimizzazione delle risorse per il migliore funzionamento dei servizi in relazione alle disponibilità finanziarie e di bilancio, provvedano alla programmazione triennale del fabbisogno di personale, comprensivo delle unità di cui alla Legge n. 68/1999. </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lastRenderedPageBreak/>
        <w:t xml:space="preserve">L’obbligo di programmazione del fabbisogno del personale è altresì sancito dall’art. 91 del </w:t>
      </w:r>
      <w:proofErr w:type="spellStart"/>
      <w:r>
        <w:rPr>
          <w:rFonts w:ascii="Trebuchet MS" w:hAnsi="Trebuchet MS" w:cs="Trebuchet MS"/>
          <w:sz w:val="21"/>
          <w:szCs w:val="21"/>
        </w:rPr>
        <w:t>D.Lgs.</w:t>
      </w:r>
      <w:proofErr w:type="spellEnd"/>
      <w:r>
        <w:rPr>
          <w:rFonts w:ascii="Trebuchet MS" w:hAnsi="Trebuchet MS" w:cs="Trebuchet MS"/>
          <w:sz w:val="21"/>
          <w:szCs w:val="21"/>
        </w:rPr>
        <w:t xml:space="preserve"> n. 267/2000, che precisa che la programmazione deve essere finalizzata alla riduzione programmata delle spese del personale. Il </w:t>
      </w:r>
      <w:proofErr w:type="spellStart"/>
      <w:r>
        <w:rPr>
          <w:rFonts w:ascii="Trebuchet MS" w:hAnsi="Trebuchet MS" w:cs="Trebuchet MS"/>
          <w:sz w:val="21"/>
          <w:szCs w:val="21"/>
        </w:rPr>
        <w:t>D.Lgs.</w:t>
      </w:r>
      <w:proofErr w:type="spellEnd"/>
      <w:r>
        <w:rPr>
          <w:rFonts w:ascii="Trebuchet MS" w:hAnsi="Trebuchet MS" w:cs="Trebuchet MS"/>
          <w:sz w:val="21"/>
          <w:szCs w:val="21"/>
        </w:rPr>
        <w:t xml:space="preserve"> 165/2001 dispone, inoltre, quanto segue relativamente alla programmazione del fabbisogno di personale:</w:t>
      </w:r>
    </w:p>
    <w:p w:rsidR="00A46E35" w:rsidRDefault="00A46E35" w:rsidP="00A46E35">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 xml:space="preserve">art. 6 – comma 4 - il documento di programmazione deve essere correlato alla dotazione organica dell’Ente e deve risultare coerente con gli strumenti di programmazione </w:t>
      </w:r>
      <w:proofErr w:type="spellStart"/>
      <w:r>
        <w:rPr>
          <w:rFonts w:ascii="Trebuchet MS" w:hAnsi="Trebuchet MS" w:cs="Trebuchet MS"/>
          <w:sz w:val="21"/>
          <w:szCs w:val="21"/>
        </w:rPr>
        <w:t>economicofinanziaria</w:t>
      </w:r>
      <w:proofErr w:type="spellEnd"/>
      <w:r>
        <w:rPr>
          <w:rFonts w:ascii="Trebuchet MS" w:hAnsi="Trebuchet MS" w:cs="Trebuchet MS"/>
          <w:sz w:val="21"/>
          <w:szCs w:val="21"/>
        </w:rPr>
        <w:t>;</w:t>
      </w:r>
    </w:p>
    <w:p w:rsidR="00A46E35" w:rsidRDefault="00A46E35" w:rsidP="00A46E35">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art. 6 - comma 4bis - il documento di programmazione deve essere elaborato su proposta dei competenti dirigenti che individuano i profili professionali necessari allo svolgimento dei compiti istituzionali delle strutture cui sono preposti;</w:t>
      </w:r>
    </w:p>
    <w:p w:rsidR="00A46E35" w:rsidRDefault="00A46E35" w:rsidP="00A46E35">
      <w:pPr>
        <w:numPr>
          <w:ilvl w:val="0"/>
          <w:numId w:val="1"/>
        </w:num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art. 35 – comma 4 – la programmazione triennale dei fabbisogni di personale costituisce presupposto necessario per l’avvio delle procedure di reclutamento.</w:t>
      </w:r>
    </w:p>
    <w:p w:rsidR="00A46E35" w:rsidRDefault="00A46E35" w:rsidP="00A46E35">
      <w:pPr>
        <w:autoSpaceDE w:val="0"/>
        <w:autoSpaceDN w:val="0"/>
        <w:adjustRightInd w:val="0"/>
        <w:spacing w:after="0" w:line="360" w:lineRule="auto"/>
        <w:ind w:firstLine="539"/>
        <w:jc w:val="both"/>
        <w:rPr>
          <w:rFonts w:ascii="Calibri" w:hAnsi="Calibri" w:cs="Calibri"/>
        </w:rPr>
      </w:pP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In base a quanto stabilito dal decreto legislativo n. 118 del 2011, le amministrazioni pubbliche territoriali (ai sensi del medesimo decreto) conformano la propria gestione a regole contabili uniformi definite sotto forma di principi contabili generali e di principi contabili applicati. Il principio contabile sperimentale applicato concernente la programmazione di bilancio prevede che all’interno della Sezione Operativa del Documento Unico di Programmazione sia contenuta anche la programmazione del fabbisogno di personale a livello triennale e annuale.</w:t>
      </w:r>
    </w:p>
    <w:p w:rsidR="00A46E35" w:rsidRDefault="00A46E35" w:rsidP="00A46E35">
      <w:pPr>
        <w:autoSpaceDE w:val="0"/>
        <w:autoSpaceDN w:val="0"/>
        <w:adjustRightInd w:val="0"/>
        <w:spacing w:after="0" w:line="360" w:lineRule="auto"/>
        <w:ind w:firstLine="539"/>
        <w:jc w:val="both"/>
        <w:rPr>
          <w:rFonts w:ascii="Trebuchet MS" w:hAnsi="Trebuchet MS" w:cs="Trebuchet MS"/>
          <w:sz w:val="21"/>
          <w:szCs w:val="21"/>
        </w:rPr>
      </w:pPr>
      <w:r>
        <w:rPr>
          <w:rFonts w:ascii="Trebuchet MS" w:hAnsi="Trebuchet MS" w:cs="Trebuchet MS"/>
          <w:sz w:val="21"/>
          <w:szCs w:val="21"/>
        </w:rPr>
        <w:t>La programmazione, che è stata effettuata in coerenza con le valutazioni in merito ai fabbisogni organizzativi espressi dai Dirigenti dell’Ente, è riportata nel presente documento sotto forma di indirizzi e direttive di massima, a cui dovranno attenersi nelle indicazioni operative i piani occupazionali annuali approvati dalla Giunta Comunale.</w:t>
      </w:r>
    </w:p>
    <w:p w:rsidR="00A46E35" w:rsidRDefault="00A46E35" w:rsidP="00A46E35">
      <w:pPr>
        <w:autoSpaceDE w:val="0"/>
        <w:autoSpaceDN w:val="0"/>
        <w:adjustRightInd w:val="0"/>
        <w:spacing w:after="0" w:line="360" w:lineRule="auto"/>
        <w:rPr>
          <w:rFonts w:ascii="Calibri" w:hAnsi="Calibri" w:cs="Calibri"/>
        </w:rPr>
      </w:pPr>
    </w:p>
    <w:p w:rsidR="00A46E35" w:rsidRPr="00C14EFD" w:rsidRDefault="009002D6" w:rsidP="009002D6">
      <w:pPr>
        <w:jc w:val="both"/>
      </w:pPr>
      <w:r>
        <w:rPr>
          <w:rFonts w:ascii="Calibri" w:hAnsi="Calibri" w:cs="Calibri"/>
        </w:rPr>
        <w:t xml:space="preserve">La </w:t>
      </w:r>
      <w:r>
        <w:t>programmazione del fabbisogno di personale 2018/2020, attesa l’alta mutabilità del quadro normativo di riferimento,  verrà deliberata dalla Giunta comunale ed allegata al presente documento di programmazione in occasione della nota di aggiornamento.</w:t>
      </w:r>
    </w:p>
    <w:sectPr w:rsidR="00A46E35" w:rsidRPr="00C14EFD" w:rsidSect="00A46E35">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EACE48C"/>
    <w:lvl w:ilvl="0">
      <w:numFmt w:val="bullet"/>
      <w:lvlText w:val="*"/>
      <w:lvlJc w:val="left"/>
    </w:lvl>
  </w:abstractNum>
  <w:abstractNum w:abstractNumId="1">
    <w:nsid w:val="2196232A"/>
    <w:multiLevelType w:val="hybridMultilevel"/>
    <w:tmpl w:val="FF863AA8"/>
    <w:lvl w:ilvl="0" w:tplc="A572798A">
      <w:numFmt w:val="bullet"/>
      <w:lvlText w:val="-"/>
      <w:lvlJc w:val="left"/>
      <w:pPr>
        <w:ind w:left="720" w:hanging="360"/>
      </w:pPr>
      <w:rPr>
        <w:rFonts w:ascii="Trebuchet MS" w:eastAsiaTheme="minorEastAsia" w:hAnsi="Trebuchet MS" w:cs="Trebuchet MS" w:hint="default"/>
        <w:sz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Symbol" w:hAnsi="Symbol" w:hint="default"/>
        </w:rPr>
      </w:lvl>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useFELayout/>
  </w:compat>
  <w:rsids>
    <w:rsidRoot w:val="004854B0"/>
    <w:rsid w:val="000622B8"/>
    <w:rsid w:val="001D2229"/>
    <w:rsid w:val="0022076B"/>
    <w:rsid w:val="002534C0"/>
    <w:rsid w:val="002668FB"/>
    <w:rsid w:val="002805D9"/>
    <w:rsid w:val="002C119B"/>
    <w:rsid w:val="002C408E"/>
    <w:rsid w:val="002D7357"/>
    <w:rsid w:val="003231C6"/>
    <w:rsid w:val="00326A99"/>
    <w:rsid w:val="0036064B"/>
    <w:rsid w:val="0036644C"/>
    <w:rsid w:val="003A0A99"/>
    <w:rsid w:val="00410A28"/>
    <w:rsid w:val="004854B0"/>
    <w:rsid w:val="004A0611"/>
    <w:rsid w:val="004E20BA"/>
    <w:rsid w:val="004F2EFD"/>
    <w:rsid w:val="005149CC"/>
    <w:rsid w:val="00535D21"/>
    <w:rsid w:val="00543A29"/>
    <w:rsid w:val="00625608"/>
    <w:rsid w:val="00642287"/>
    <w:rsid w:val="006625E6"/>
    <w:rsid w:val="00665A7E"/>
    <w:rsid w:val="00792DC5"/>
    <w:rsid w:val="00812964"/>
    <w:rsid w:val="00830644"/>
    <w:rsid w:val="00844B24"/>
    <w:rsid w:val="009002D6"/>
    <w:rsid w:val="0093106E"/>
    <w:rsid w:val="00965797"/>
    <w:rsid w:val="00A402BA"/>
    <w:rsid w:val="00A46E35"/>
    <w:rsid w:val="00B530AD"/>
    <w:rsid w:val="00C14EFD"/>
    <w:rsid w:val="00C7760E"/>
    <w:rsid w:val="00C871E0"/>
    <w:rsid w:val="00CA3E73"/>
    <w:rsid w:val="00D07364"/>
    <w:rsid w:val="00D62B20"/>
    <w:rsid w:val="00DD0BB8"/>
    <w:rsid w:val="00EF65F0"/>
    <w:rsid w:val="00F246AB"/>
    <w:rsid w:val="00FF4FB1"/>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34C0"/>
  </w:style>
  <w:style w:type="paragraph" w:styleId="Titolo5">
    <w:name w:val="heading 5"/>
    <w:basedOn w:val="Normale"/>
    <w:next w:val="Normale"/>
    <w:link w:val="Titolo5Carattere"/>
    <w:qFormat/>
    <w:rsid w:val="00326A99"/>
    <w:pPr>
      <w:keepNext/>
      <w:spacing w:after="0" w:line="240" w:lineRule="auto"/>
      <w:jc w:val="center"/>
      <w:outlineLvl w:val="4"/>
    </w:pPr>
    <w:rPr>
      <w:rFonts w:ascii="Times New Roman" w:eastAsia="Times New Roman" w:hAnsi="Times New Roman" w:cs="Times New Roman"/>
      <w:b/>
      <w:bCs/>
      <w:sz w:val="20"/>
      <w:szCs w:val="24"/>
    </w:rPr>
  </w:style>
  <w:style w:type="paragraph" w:styleId="Titolo7">
    <w:name w:val="heading 7"/>
    <w:basedOn w:val="Normale"/>
    <w:next w:val="Normale"/>
    <w:link w:val="Titolo7Carattere"/>
    <w:qFormat/>
    <w:rsid w:val="00326A99"/>
    <w:pPr>
      <w:keepNext/>
      <w:spacing w:after="0" w:line="240" w:lineRule="auto"/>
      <w:jc w:val="right"/>
      <w:outlineLvl w:val="6"/>
    </w:pPr>
    <w:rPr>
      <w:rFonts w:ascii="Times New Roman" w:eastAsia="Times New Roman" w:hAnsi="Times New Roman" w:cs="Times New Roman"/>
      <w:b/>
      <w:bCs/>
      <w:sz w:val="20"/>
      <w:szCs w:val="24"/>
    </w:rPr>
  </w:style>
  <w:style w:type="paragraph" w:styleId="Titolo8">
    <w:name w:val="heading 8"/>
    <w:basedOn w:val="Normale"/>
    <w:next w:val="Normale"/>
    <w:link w:val="Titolo8Carattere"/>
    <w:qFormat/>
    <w:rsid w:val="00326A99"/>
    <w:pPr>
      <w:keepNext/>
      <w:spacing w:after="0" w:line="240" w:lineRule="auto"/>
      <w:jc w:val="both"/>
      <w:outlineLvl w:val="7"/>
    </w:pPr>
    <w:rPr>
      <w:rFonts w:ascii="Times New Roman" w:eastAsia="Times New Roman" w:hAnsi="Times New Roman" w:cs="Times New Roman"/>
      <w:sz w:val="28"/>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064B"/>
    <w:pPr>
      <w:ind w:left="720"/>
      <w:contextualSpacing/>
    </w:pPr>
  </w:style>
  <w:style w:type="paragraph" w:styleId="Testofumetto">
    <w:name w:val="Balloon Text"/>
    <w:basedOn w:val="Normale"/>
    <w:link w:val="TestofumettoCarattere"/>
    <w:uiPriority w:val="99"/>
    <w:semiHidden/>
    <w:unhideWhenUsed/>
    <w:rsid w:val="00F246A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246AB"/>
    <w:rPr>
      <w:rFonts w:ascii="Tahoma" w:hAnsi="Tahoma" w:cs="Tahoma"/>
      <w:sz w:val="16"/>
      <w:szCs w:val="16"/>
    </w:rPr>
  </w:style>
  <w:style w:type="paragraph" w:customStyle="1" w:styleId="western1">
    <w:name w:val="western1"/>
    <w:basedOn w:val="Normale"/>
    <w:rsid w:val="002D7357"/>
    <w:pPr>
      <w:spacing w:before="100" w:beforeAutospacing="1" w:after="0" w:line="240" w:lineRule="auto"/>
    </w:pPr>
    <w:rPr>
      <w:rFonts w:ascii="Trebuchet MS" w:eastAsia="Times New Roman" w:hAnsi="Trebuchet MS" w:cs="Times New Roman"/>
      <w:sz w:val="16"/>
      <w:szCs w:val="16"/>
    </w:rPr>
  </w:style>
  <w:style w:type="character" w:customStyle="1" w:styleId="Titolo5Carattere">
    <w:name w:val="Titolo 5 Carattere"/>
    <w:basedOn w:val="Carpredefinitoparagrafo"/>
    <w:link w:val="Titolo5"/>
    <w:rsid w:val="00326A99"/>
    <w:rPr>
      <w:rFonts w:ascii="Times New Roman" w:eastAsia="Times New Roman" w:hAnsi="Times New Roman" w:cs="Times New Roman"/>
      <w:b/>
      <w:bCs/>
      <w:sz w:val="20"/>
      <w:szCs w:val="24"/>
    </w:rPr>
  </w:style>
  <w:style w:type="character" w:customStyle="1" w:styleId="Titolo7Carattere">
    <w:name w:val="Titolo 7 Carattere"/>
    <w:basedOn w:val="Carpredefinitoparagrafo"/>
    <w:link w:val="Titolo7"/>
    <w:rsid w:val="00326A99"/>
    <w:rPr>
      <w:rFonts w:ascii="Times New Roman" w:eastAsia="Times New Roman" w:hAnsi="Times New Roman" w:cs="Times New Roman"/>
      <w:b/>
      <w:bCs/>
      <w:sz w:val="20"/>
      <w:szCs w:val="24"/>
    </w:rPr>
  </w:style>
  <w:style w:type="character" w:customStyle="1" w:styleId="Titolo8Carattere">
    <w:name w:val="Titolo 8 Carattere"/>
    <w:basedOn w:val="Carpredefinitoparagrafo"/>
    <w:link w:val="Titolo8"/>
    <w:rsid w:val="00326A99"/>
    <w:rPr>
      <w:rFonts w:ascii="Times New Roman" w:eastAsia="Times New Roman" w:hAnsi="Times New Roman" w:cs="Times New Roman"/>
      <w:sz w:val="28"/>
      <w:szCs w:val="20"/>
    </w:rPr>
  </w:style>
  <w:style w:type="paragraph" w:styleId="Intestazione">
    <w:name w:val="header"/>
    <w:basedOn w:val="Normale"/>
    <w:link w:val="IntestazioneCarattere"/>
    <w:rsid w:val="00326A99"/>
    <w:pPr>
      <w:tabs>
        <w:tab w:val="center" w:pos="4819"/>
        <w:tab w:val="right" w:pos="9638"/>
      </w:tabs>
      <w:spacing w:after="0" w:line="240" w:lineRule="auto"/>
    </w:pPr>
    <w:rPr>
      <w:rFonts w:ascii="Times New Roman" w:eastAsia="Times New Roman" w:hAnsi="Times New Roman" w:cs="Times New Roman"/>
      <w:sz w:val="24"/>
      <w:szCs w:val="24"/>
    </w:rPr>
  </w:style>
  <w:style w:type="character" w:customStyle="1" w:styleId="IntestazioneCarattere">
    <w:name w:val="Intestazione Carattere"/>
    <w:basedOn w:val="Carpredefinitoparagrafo"/>
    <w:link w:val="Intestazione"/>
    <w:rsid w:val="00326A99"/>
    <w:rPr>
      <w:rFonts w:ascii="Times New Roman" w:eastAsia="Times New Roman" w:hAnsi="Times New Roman" w:cs="Times New Roman"/>
      <w:sz w:val="24"/>
      <w:szCs w:val="24"/>
    </w:rPr>
  </w:style>
  <w:style w:type="paragraph" w:styleId="NormaleWeb">
    <w:name w:val="Normal (Web)"/>
    <w:basedOn w:val="Normale"/>
    <w:uiPriority w:val="99"/>
    <w:unhideWhenUsed/>
    <w:rsid w:val="00D62B20"/>
    <w:pPr>
      <w:spacing w:before="100" w:beforeAutospacing="1" w:after="119"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60548">
      <w:bodyDiv w:val="1"/>
      <w:marLeft w:val="0"/>
      <w:marRight w:val="0"/>
      <w:marTop w:val="0"/>
      <w:marBottom w:val="0"/>
      <w:divBdr>
        <w:top w:val="none" w:sz="0" w:space="0" w:color="auto"/>
        <w:left w:val="none" w:sz="0" w:space="0" w:color="auto"/>
        <w:bottom w:val="none" w:sz="0" w:space="0" w:color="auto"/>
        <w:right w:val="none" w:sz="0" w:space="0" w:color="auto"/>
      </w:divBdr>
    </w:div>
    <w:div w:id="34233486">
      <w:bodyDiv w:val="1"/>
      <w:marLeft w:val="0"/>
      <w:marRight w:val="0"/>
      <w:marTop w:val="0"/>
      <w:marBottom w:val="0"/>
      <w:divBdr>
        <w:top w:val="none" w:sz="0" w:space="0" w:color="auto"/>
        <w:left w:val="none" w:sz="0" w:space="0" w:color="auto"/>
        <w:bottom w:val="none" w:sz="0" w:space="0" w:color="auto"/>
        <w:right w:val="none" w:sz="0" w:space="0" w:color="auto"/>
      </w:divBdr>
    </w:div>
    <w:div w:id="115607254">
      <w:bodyDiv w:val="1"/>
      <w:marLeft w:val="0"/>
      <w:marRight w:val="0"/>
      <w:marTop w:val="0"/>
      <w:marBottom w:val="0"/>
      <w:divBdr>
        <w:top w:val="none" w:sz="0" w:space="0" w:color="auto"/>
        <w:left w:val="none" w:sz="0" w:space="0" w:color="auto"/>
        <w:bottom w:val="none" w:sz="0" w:space="0" w:color="auto"/>
        <w:right w:val="none" w:sz="0" w:space="0" w:color="auto"/>
      </w:divBdr>
    </w:div>
    <w:div w:id="166287028">
      <w:bodyDiv w:val="1"/>
      <w:marLeft w:val="0"/>
      <w:marRight w:val="0"/>
      <w:marTop w:val="0"/>
      <w:marBottom w:val="0"/>
      <w:divBdr>
        <w:top w:val="none" w:sz="0" w:space="0" w:color="auto"/>
        <w:left w:val="none" w:sz="0" w:space="0" w:color="auto"/>
        <w:bottom w:val="none" w:sz="0" w:space="0" w:color="auto"/>
        <w:right w:val="none" w:sz="0" w:space="0" w:color="auto"/>
      </w:divBdr>
    </w:div>
    <w:div w:id="177429906">
      <w:bodyDiv w:val="1"/>
      <w:marLeft w:val="0"/>
      <w:marRight w:val="0"/>
      <w:marTop w:val="0"/>
      <w:marBottom w:val="0"/>
      <w:divBdr>
        <w:top w:val="none" w:sz="0" w:space="0" w:color="auto"/>
        <w:left w:val="none" w:sz="0" w:space="0" w:color="auto"/>
        <w:bottom w:val="none" w:sz="0" w:space="0" w:color="auto"/>
        <w:right w:val="none" w:sz="0" w:space="0" w:color="auto"/>
      </w:divBdr>
    </w:div>
    <w:div w:id="201987223">
      <w:bodyDiv w:val="1"/>
      <w:marLeft w:val="0"/>
      <w:marRight w:val="0"/>
      <w:marTop w:val="0"/>
      <w:marBottom w:val="0"/>
      <w:divBdr>
        <w:top w:val="none" w:sz="0" w:space="0" w:color="auto"/>
        <w:left w:val="none" w:sz="0" w:space="0" w:color="auto"/>
        <w:bottom w:val="none" w:sz="0" w:space="0" w:color="auto"/>
        <w:right w:val="none" w:sz="0" w:space="0" w:color="auto"/>
      </w:divBdr>
    </w:div>
    <w:div w:id="423114504">
      <w:bodyDiv w:val="1"/>
      <w:marLeft w:val="0"/>
      <w:marRight w:val="0"/>
      <w:marTop w:val="0"/>
      <w:marBottom w:val="0"/>
      <w:divBdr>
        <w:top w:val="none" w:sz="0" w:space="0" w:color="auto"/>
        <w:left w:val="none" w:sz="0" w:space="0" w:color="auto"/>
        <w:bottom w:val="none" w:sz="0" w:space="0" w:color="auto"/>
        <w:right w:val="none" w:sz="0" w:space="0" w:color="auto"/>
      </w:divBdr>
    </w:div>
    <w:div w:id="521359306">
      <w:bodyDiv w:val="1"/>
      <w:marLeft w:val="0"/>
      <w:marRight w:val="0"/>
      <w:marTop w:val="0"/>
      <w:marBottom w:val="0"/>
      <w:divBdr>
        <w:top w:val="none" w:sz="0" w:space="0" w:color="auto"/>
        <w:left w:val="none" w:sz="0" w:space="0" w:color="auto"/>
        <w:bottom w:val="none" w:sz="0" w:space="0" w:color="auto"/>
        <w:right w:val="none" w:sz="0" w:space="0" w:color="auto"/>
      </w:divBdr>
    </w:div>
    <w:div w:id="630208457">
      <w:bodyDiv w:val="1"/>
      <w:marLeft w:val="0"/>
      <w:marRight w:val="0"/>
      <w:marTop w:val="0"/>
      <w:marBottom w:val="0"/>
      <w:divBdr>
        <w:top w:val="none" w:sz="0" w:space="0" w:color="auto"/>
        <w:left w:val="none" w:sz="0" w:space="0" w:color="auto"/>
        <w:bottom w:val="none" w:sz="0" w:space="0" w:color="auto"/>
        <w:right w:val="none" w:sz="0" w:space="0" w:color="auto"/>
      </w:divBdr>
    </w:div>
    <w:div w:id="668025601">
      <w:bodyDiv w:val="1"/>
      <w:marLeft w:val="0"/>
      <w:marRight w:val="0"/>
      <w:marTop w:val="0"/>
      <w:marBottom w:val="0"/>
      <w:divBdr>
        <w:top w:val="none" w:sz="0" w:space="0" w:color="auto"/>
        <w:left w:val="none" w:sz="0" w:space="0" w:color="auto"/>
        <w:bottom w:val="none" w:sz="0" w:space="0" w:color="auto"/>
        <w:right w:val="none" w:sz="0" w:space="0" w:color="auto"/>
      </w:divBdr>
    </w:div>
    <w:div w:id="742214080">
      <w:bodyDiv w:val="1"/>
      <w:marLeft w:val="0"/>
      <w:marRight w:val="0"/>
      <w:marTop w:val="0"/>
      <w:marBottom w:val="0"/>
      <w:divBdr>
        <w:top w:val="none" w:sz="0" w:space="0" w:color="auto"/>
        <w:left w:val="none" w:sz="0" w:space="0" w:color="auto"/>
        <w:bottom w:val="none" w:sz="0" w:space="0" w:color="auto"/>
        <w:right w:val="none" w:sz="0" w:space="0" w:color="auto"/>
      </w:divBdr>
    </w:div>
    <w:div w:id="856188326">
      <w:bodyDiv w:val="1"/>
      <w:marLeft w:val="0"/>
      <w:marRight w:val="0"/>
      <w:marTop w:val="0"/>
      <w:marBottom w:val="0"/>
      <w:divBdr>
        <w:top w:val="none" w:sz="0" w:space="0" w:color="auto"/>
        <w:left w:val="none" w:sz="0" w:space="0" w:color="auto"/>
        <w:bottom w:val="none" w:sz="0" w:space="0" w:color="auto"/>
        <w:right w:val="none" w:sz="0" w:space="0" w:color="auto"/>
      </w:divBdr>
    </w:div>
    <w:div w:id="969941644">
      <w:bodyDiv w:val="1"/>
      <w:marLeft w:val="0"/>
      <w:marRight w:val="0"/>
      <w:marTop w:val="0"/>
      <w:marBottom w:val="0"/>
      <w:divBdr>
        <w:top w:val="none" w:sz="0" w:space="0" w:color="auto"/>
        <w:left w:val="none" w:sz="0" w:space="0" w:color="auto"/>
        <w:bottom w:val="none" w:sz="0" w:space="0" w:color="auto"/>
        <w:right w:val="none" w:sz="0" w:space="0" w:color="auto"/>
      </w:divBdr>
    </w:div>
    <w:div w:id="977493846">
      <w:bodyDiv w:val="1"/>
      <w:marLeft w:val="0"/>
      <w:marRight w:val="0"/>
      <w:marTop w:val="0"/>
      <w:marBottom w:val="0"/>
      <w:divBdr>
        <w:top w:val="none" w:sz="0" w:space="0" w:color="auto"/>
        <w:left w:val="none" w:sz="0" w:space="0" w:color="auto"/>
        <w:bottom w:val="none" w:sz="0" w:space="0" w:color="auto"/>
        <w:right w:val="none" w:sz="0" w:space="0" w:color="auto"/>
      </w:divBdr>
    </w:div>
    <w:div w:id="1139566614">
      <w:bodyDiv w:val="1"/>
      <w:marLeft w:val="0"/>
      <w:marRight w:val="0"/>
      <w:marTop w:val="0"/>
      <w:marBottom w:val="0"/>
      <w:divBdr>
        <w:top w:val="none" w:sz="0" w:space="0" w:color="auto"/>
        <w:left w:val="none" w:sz="0" w:space="0" w:color="auto"/>
        <w:bottom w:val="none" w:sz="0" w:space="0" w:color="auto"/>
        <w:right w:val="none" w:sz="0" w:space="0" w:color="auto"/>
      </w:divBdr>
    </w:div>
    <w:div w:id="1140610375">
      <w:bodyDiv w:val="1"/>
      <w:marLeft w:val="0"/>
      <w:marRight w:val="0"/>
      <w:marTop w:val="0"/>
      <w:marBottom w:val="0"/>
      <w:divBdr>
        <w:top w:val="none" w:sz="0" w:space="0" w:color="auto"/>
        <w:left w:val="none" w:sz="0" w:space="0" w:color="auto"/>
        <w:bottom w:val="none" w:sz="0" w:space="0" w:color="auto"/>
        <w:right w:val="none" w:sz="0" w:space="0" w:color="auto"/>
      </w:divBdr>
    </w:div>
    <w:div w:id="1238322991">
      <w:bodyDiv w:val="1"/>
      <w:marLeft w:val="0"/>
      <w:marRight w:val="0"/>
      <w:marTop w:val="0"/>
      <w:marBottom w:val="0"/>
      <w:divBdr>
        <w:top w:val="none" w:sz="0" w:space="0" w:color="auto"/>
        <w:left w:val="none" w:sz="0" w:space="0" w:color="auto"/>
        <w:bottom w:val="none" w:sz="0" w:space="0" w:color="auto"/>
        <w:right w:val="none" w:sz="0" w:space="0" w:color="auto"/>
      </w:divBdr>
    </w:div>
    <w:div w:id="1560824811">
      <w:bodyDiv w:val="1"/>
      <w:marLeft w:val="0"/>
      <w:marRight w:val="0"/>
      <w:marTop w:val="0"/>
      <w:marBottom w:val="0"/>
      <w:divBdr>
        <w:top w:val="none" w:sz="0" w:space="0" w:color="auto"/>
        <w:left w:val="none" w:sz="0" w:space="0" w:color="auto"/>
        <w:bottom w:val="none" w:sz="0" w:space="0" w:color="auto"/>
        <w:right w:val="none" w:sz="0" w:space="0" w:color="auto"/>
      </w:divBdr>
    </w:div>
    <w:div w:id="1924407986">
      <w:bodyDiv w:val="1"/>
      <w:marLeft w:val="0"/>
      <w:marRight w:val="0"/>
      <w:marTop w:val="0"/>
      <w:marBottom w:val="0"/>
      <w:divBdr>
        <w:top w:val="none" w:sz="0" w:space="0" w:color="auto"/>
        <w:left w:val="none" w:sz="0" w:space="0" w:color="auto"/>
        <w:bottom w:val="none" w:sz="0" w:space="0" w:color="auto"/>
        <w:right w:val="none" w:sz="0" w:space="0" w:color="auto"/>
      </w:divBdr>
    </w:div>
    <w:div w:id="1942227411">
      <w:bodyDiv w:val="1"/>
      <w:marLeft w:val="0"/>
      <w:marRight w:val="0"/>
      <w:marTop w:val="0"/>
      <w:marBottom w:val="0"/>
      <w:divBdr>
        <w:top w:val="none" w:sz="0" w:space="0" w:color="auto"/>
        <w:left w:val="none" w:sz="0" w:space="0" w:color="auto"/>
        <w:bottom w:val="none" w:sz="0" w:space="0" w:color="auto"/>
        <w:right w:val="none" w:sz="0" w:space="0" w:color="auto"/>
      </w:divBdr>
    </w:div>
    <w:div w:id="1942377256">
      <w:bodyDiv w:val="1"/>
      <w:marLeft w:val="0"/>
      <w:marRight w:val="0"/>
      <w:marTop w:val="0"/>
      <w:marBottom w:val="0"/>
      <w:divBdr>
        <w:top w:val="none" w:sz="0" w:space="0" w:color="auto"/>
        <w:left w:val="none" w:sz="0" w:space="0" w:color="auto"/>
        <w:bottom w:val="none" w:sz="0" w:space="0" w:color="auto"/>
        <w:right w:val="none" w:sz="0" w:space="0" w:color="auto"/>
      </w:divBdr>
    </w:div>
    <w:div w:id="2115123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image" Target="media/image8.emf"/><Relationship Id="rId18" Type="http://schemas.openxmlformats.org/officeDocument/2006/relationships/image" Target="media/image13.emf"/><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image" Target="media/image7.emf"/><Relationship Id="rId17" Type="http://schemas.openxmlformats.org/officeDocument/2006/relationships/image" Target="media/image12.emf"/><Relationship Id="rId2" Type="http://schemas.openxmlformats.org/officeDocument/2006/relationships/numbering" Target="numbering.xml"/><Relationship Id="rId16" Type="http://schemas.openxmlformats.org/officeDocument/2006/relationships/image" Target="media/image11.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5" Type="http://schemas.openxmlformats.org/officeDocument/2006/relationships/image" Target="media/image10.emf"/><Relationship Id="rId10" Type="http://schemas.openxmlformats.org/officeDocument/2006/relationships/image" Target="media/image5.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emf"/><Relationship Id="rId14" Type="http://schemas.openxmlformats.org/officeDocument/2006/relationships/image" Target="media/image9.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7E7D1-AD49-4286-B37A-1667D5F73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56</Pages>
  <Words>14044</Words>
  <Characters>80055</Characters>
  <Application>Microsoft Office Word</Application>
  <DocSecurity>0</DocSecurity>
  <Lines>667</Lines>
  <Paragraphs>187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93912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Angelo</dc:creator>
  <cp:keywords/>
  <dc:description/>
  <cp:lastModifiedBy>Comune di San Pietro in Guarano</cp:lastModifiedBy>
  <cp:revision>11</cp:revision>
  <cp:lastPrinted>2017-07-27T08:03:00Z</cp:lastPrinted>
  <dcterms:created xsi:type="dcterms:W3CDTF">2017-07-26T12:46:00Z</dcterms:created>
  <dcterms:modified xsi:type="dcterms:W3CDTF">2017-07-27T08:04:00Z</dcterms:modified>
</cp:coreProperties>
</file>