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0" w:rsidRPr="00A578F0" w:rsidRDefault="002F5AA0" w:rsidP="006A5114">
      <w:pPr>
        <w:rPr>
          <w:b/>
          <w:sz w:val="10"/>
          <w:szCs w:val="10"/>
        </w:rPr>
      </w:pPr>
    </w:p>
    <w:p w:rsidR="000A32E6" w:rsidRDefault="000A32E6" w:rsidP="006A5114">
      <w:pPr>
        <w:jc w:val="center"/>
        <w:rPr>
          <w:b/>
          <w:sz w:val="26"/>
          <w:szCs w:val="26"/>
        </w:rPr>
      </w:pPr>
    </w:p>
    <w:p w:rsidR="000A32E6" w:rsidRDefault="000A32E6" w:rsidP="006A5114">
      <w:pPr>
        <w:jc w:val="center"/>
        <w:rPr>
          <w:b/>
          <w:sz w:val="26"/>
          <w:szCs w:val="26"/>
        </w:rPr>
      </w:pPr>
    </w:p>
    <w:p w:rsidR="002F5AA0" w:rsidRPr="00F92BA9" w:rsidRDefault="00864DB9" w:rsidP="006A5114">
      <w:pPr>
        <w:jc w:val="center"/>
        <w:rPr>
          <w:b/>
          <w:sz w:val="26"/>
          <w:szCs w:val="26"/>
        </w:rPr>
      </w:pPr>
      <w:r w:rsidRPr="00F92BA9">
        <w:rPr>
          <w:b/>
          <w:sz w:val="26"/>
          <w:szCs w:val="26"/>
        </w:rPr>
        <w:t>RELAZIONE DI ACCOMPAGNAMENTO</w:t>
      </w:r>
    </w:p>
    <w:p w:rsidR="00FB0B5E" w:rsidRPr="00F92BA9" w:rsidRDefault="00FB0B5E" w:rsidP="006A5114">
      <w:pPr>
        <w:jc w:val="center"/>
        <w:rPr>
          <w:b/>
          <w:sz w:val="26"/>
          <w:szCs w:val="26"/>
        </w:rPr>
      </w:pPr>
      <w:r w:rsidRPr="00F92BA9">
        <w:rPr>
          <w:b/>
          <w:sz w:val="26"/>
          <w:szCs w:val="26"/>
        </w:rPr>
        <w:t xml:space="preserve">AL PIANO ECONOMICO FINANZIARIO </w:t>
      </w:r>
      <w:r w:rsidR="000E5F1E">
        <w:rPr>
          <w:b/>
          <w:sz w:val="26"/>
          <w:szCs w:val="26"/>
        </w:rPr>
        <w:t>2021</w:t>
      </w:r>
    </w:p>
    <w:p w:rsidR="00467ABB" w:rsidRPr="00F92BA9" w:rsidRDefault="005A64F3" w:rsidP="006A5114">
      <w:pPr>
        <w:jc w:val="center"/>
        <w:rPr>
          <w:b/>
          <w:sz w:val="26"/>
          <w:szCs w:val="26"/>
        </w:rPr>
      </w:pPr>
      <w:r w:rsidRPr="00F92BA9">
        <w:rPr>
          <w:b/>
          <w:sz w:val="26"/>
          <w:szCs w:val="26"/>
        </w:rPr>
        <w:t xml:space="preserve">DEL </w:t>
      </w:r>
      <w:r w:rsidR="00467ABB" w:rsidRPr="00F92BA9">
        <w:rPr>
          <w:b/>
          <w:sz w:val="26"/>
          <w:szCs w:val="26"/>
        </w:rPr>
        <w:tab/>
      </w:r>
    </w:p>
    <w:p w:rsidR="00467ABB" w:rsidRPr="00F92BA9" w:rsidRDefault="00467ABB" w:rsidP="006A5114">
      <w:pPr>
        <w:jc w:val="center"/>
        <w:rPr>
          <w:b/>
          <w:sz w:val="26"/>
          <w:szCs w:val="26"/>
        </w:rPr>
      </w:pPr>
      <w:r w:rsidRPr="00F92BA9">
        <w:rPr>
          <w:b/>
          <w:sz w:val="26"/>
          <w:szCs w:val="26"/>
        </w:rPr>
        <w:t xml:space="preserve">COMUNE DI </w:t>
      </w:r>
      <w:r w:rsidR="00E8757D">
        <w:rPr>
          <w:b/>
          <w:sz w:val="26"/>
          <w:szCs w:val="26"/>
        </w:rPr>
        <w:t>SAN PIETRO IN GUARANO</w:t>
      </w:r>
      <w:r w:rsidR="00227D62">
        <w:rPr>
          <w:b/>
          <w:sz w:val="26"/>
          <w:szCs w:val="26"/>
        </w:rPr>
        <w:t xml:space="preserve"> (CS</w:t>
      </w:r>
      <w:r w:rsidR="008B2990">
        <w:rPr>
          <w:b/>
          <w:sz w:val="26"/>
          <w:szCs w:val="26"/>
        </w:rPr>
        <w:t>)</w:t>
      </w:r>
    </w:p>
    <w:p w:rsidR="005316ED" w:rsidRPr="00186271" w:rsidRDefault="005316ED" w:rsidP="006A5114">
      <w:pPr>
        <w:rPr>
          <w:sz w:val="10"/>
          <w:szCs w:val="10"/>
        </w:rPr>
      </w:pPr>
    </w:p>
    <w:p w:rsidR="005316ED" w:rsidRPr="0021515B" w:rsidRDefault="005316ED" w:rsidP="006A5114">
      <w:pPr>
        <w:rPr>
          <w:b/>
          <w:bCs/>
          <w:u w:val="single"/>
        </w:rPr>
      </w:pPr>
      <w:r w:rsidRPr="0021515B">
        <w:rPr>
          <w:b/>
          <w:bCs/>
          <w:u w:val="single"/>
        </w:rPr>
        <w:t>Indice</w:t>
      </w:r>
      <w:r w:rsidR="0004185F" w:rsidRPr="0021515B">
        <w:rPr>
          <w:b/>
          <w:bCs/>
          <w:u w:val="single"/>
        </w:rPr>
        <w:t xml:space="preserve"> della relazione</w:t>
      </w:r>
    </w:p>
    <w:p w:rsidR="009F7054" w:rsidRDefault="005E38AD">
      <w:pPr>
        <w:pStyle w:val="Sommario1"/>
        <w:rPr>
          <w:rFonts w:asciiTheme="minorHAnsi" w:eastAsiaTheme="minorEastAsia" w:hAnsiTheme="minorHAnsi" w:cstheme="minorBidi"/>
          <w:b w:val="0"/>
          <w:sz w:val="22"/>
          <w:szCs w:val="22"/>
        </w:rPr>
      </w:pPr>
      <w:r w:rsidRPr="005E38AD">
        <w:fldChar w:fldCharType="begin"/>
      </w:r>
      <w:r w:rsidR="005316ED" w:rsidRPr="00F92BA9">
        <w:instrText xml:space="preserve"> TOC \o "1-4" \h \z \u </w:instrText>
      </w:r>
      <w:r w:rsidRPr="005E38AD">
        <w:fldChar w:fldCharType="separate"/>
      </w:r>
      <w:hyperlink w:anchor="_Toc75194835" w:history="1">
        <w:r w:rsidR="009F7054" w:rsidRPr="00C35671">
          <w:rPr>
            <w:rStyle w:val="Collegamentoipertestuale"/>
          </w:rPr>
          <w:t>1</w:t>
        </w:r>
        <w:r w:rsidR="009F7054">
          <w:rPr>
            <w:rFonts w:asciiTheme="minorHAnsi" w:eastAsiaTheme="minorEastAsia" w:hAnsiTheme="minorHAnsi" w:cstheme="minorBidi"/>
            <w:b w:val="0"/>
            <w:sz w:val="22"/>
            <w:szCs w:val="22"/>
          </w:rPr>
          <w:tab/>
        </w:r>
        <w:r w:rsidR="009F7054" w:rsidRPr="00C35671">
          <w:rPr>
            <w:rStyle w:val="Collegamentoipertestuale"/>
          </w:rPr>
          <w:t>Premessa</w:t>
        </w:r>
        <w:r w:rsidR="009F7054">
          <w:rPr>
            <w:webHidden/>
          </w:rPr>
          <w:tab/>
        </w:r>
        <w:r>
          <w:rPr>
            <w:webHidden/>
          </w:rPr>
          <w:fldChar w:fldCharType="begin"/>
        </w:r>
        <w:r w:rsidR="009F7054">
          <w:rPr>
            <w:webHidden/>
          </w:rPr>
          <w:instrText xml:space="preserve"> PAGEREF _Toc75194835 \h </w:instrText>
        </w:r>
        <w:r>
          <w:rPr>
            <w:webHidden/>
          </w:rPr>
        </w:r>
        <w:r>
          <w:rPr>
            <w:webHidden/>
          </w:rPr>
          <w:fldChar w:fldCharType="separate"/>
        </w:r>
        <w:r w:rsidR="004E13B8">
          <w:rPr>
            <w:webHidden/>
          </w:rPr>
          <w:t>2</w:t>
        </w:r>
        <w:r>
          <w:rPr>
            <w:webHidden/>
          </w:rPr>
          <w:fldChar w:fldCharType="end"/>
        </w:r>
      </w:hyperlink>
    </w:p>
    <w:p w:rsidR="009F7054" w:rsidRDefault="005E38AD">
      <w:pPr>
        <w:pStyle w:val="Sommario1"/>
        <w:rPr>
          <w:rFonts w:asciiTheme="minorHAnsi" w:eastAsiaTheme="minorEastAsia" w:hAnsiTheme="minorHAnsi" w:cstheme="minorBidi"/>
          <w:b w:val="0"/>
          <w:sz w:val="22"/>
          <w:szCs w:val="22"/>
        </w:rPr>
      </w:pPr>
      <w:hyperlink w:anchor="_Toc75194836" w:history="1">
        <w:r w:rsidR="009F7054" w:rsidRPr="00C35671">
          <w:rPr>
            <w:rStyle w:val="Collegamentoipertestuale"/>
          </w:rPr>
          <w:t>2</w:t>
        </w:r>
        <w:r w:rsidR="009F7054">
          <w:rPr>
            <w:rFonts w:asciiTheme="minorHAnsi" w:eastAsiaTheme="minorEastAsia" w:hAnsiTheme="minorHAnsi" w:cstheme="minorBidi"/>
            <w:b w:val="0"/>
            <w:sz w:val="22"/>
            <w:szCs w:val="22"/>
          </w:rPr>
          <w:tab/>
        </w:r>
        <w:r w:rsidR="009F7054" w:rsidRPr="00C35671">
          <w:rPr>
            <w:rStyle w:val="Collegamentoipertestuale"/>
          </w:rPr>
          <w:t>Relazione di accompagnamento al/i PEF predisposta dal gestore</w:t>
        </w:r>
        <w:r w:rsidR="009F7054">
          <w:rPr>
            <w:webHidden/>
          </w:rPr>
          <w:tab/>
        </w:r>
        <w:r>
          <w:rPr>
            <w:webHidden/>
          </w:rPr>
          <w:fldChar w:fldCharType="begin"/>
        </w:r>
        <w:r w:rsidR="009F7054">
          <w:rPr>
            <w:webHidden/>
          </w:rPr>
          <w:instrText xml:space="preserve"> PAGEREF _Toc75194836 \h </w:instrText>
        </w:r>
        <w:r>
          <w:rPr>
            <w:webHidden/>
          </w:rPr>
        </w:r>
        <w:r>
          <w:rPr>
            <w:webHidden/>
          </w:rPr>
          <w:fldChar w:fldCharType="separate"/>
        </w:r>
        <w:r w:rsidR="004E13B8">
          <w:rPr>
            <w:webHidden/>
          </w:rPr>
          <w:t>2</w:t>
        </w:r>
        <w:r>
          <w:rPr>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37" w:history="1">
        <w:r w:rsidR="009F7054" w:rsidRPr="00C35671">
          <w:rPr>
            <w:rStyle w:val="Collegamentoipertestuale"/>
            <w:rFonts w:eastAsia="Times"/>
            <w:noProof/>
          </w:rPr>
          <w:t>2.1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Perimetro della gestione/affidamento e servizi forniti</w:t>
        </w:r>
        <w:r w:rsidR="009F7054">
          <w:rPr>
            <w:noProof/>
            <w:webHidden/>
          </w:rPr>
          <w:tab/>
        </w:r>
        <w:r>
          <w:rPr>
            <w:noProof/>
            <w:webHidden/>
          </w:rPr>
          <w:fldChar w:fldCharType="begin"/>
        </w:r>
        <w:r w:rsidR="009F7054">
          <w:rPr>
            <w:noProof/>
            <w:webHidden/>
          </w:rPr>
          <w:instrText xml:space="preserve"> PAGEREF _Toc75194837 \h </w:instrText>
        </w:r>
        <w:r>
          <w:rPr>
            <w:noProof/>
            <w:webHidden/>
          </w:rPr>
        </w:r>
        <w:r>
          <w:rPr>
            <w:noProof/>
            <w:webHidden/>
          </w:rPr>
          <w:fldChar w:fldCharType="separate"/>
        </w:r>
        <w:r w:rsidR="004E13B8">
          <w:rPr>
            <w:noProof/>
            <w:webHidden/>
          </w:rPr>
          <w:t>2</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38" w:history="1">
        <w:r w:rsidR="009F7054" w:rsidRPr="00C35671">
          <w:rPr>
            <w:rStyle w:val="Collegamentoipertestuale"/>
            <w:rFonts w:eastAsia="Times"/>
            <w:noProof/>
          </w:rPr>
          <w:t>2.1.1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Gestore del servizio integrato di gestione dei rifiuti urbani</w:t>
        </w:r>
        <w:r w:rsidR="009F7054">
          <w:rPr>
            <w:noProof/>
            <w:webHidden/>
          </w:rPr>
          <w:tab/>
        </w:r>
        <w:r>
          <w:rPr>
            <w:noProof/>
            <w:webHidden/>
          </w:rPr>
          <w:fldChar w:fldCharType="begin"/>
        </w:r>
        <w:r w:rsidR="009F7054">
          <w:rPr>
            <w:noProof/>
            <w:webHidden/>
          </w:rPr>
          <w:instrText xml:space="preserve"> PAGEREF _Toc75194838 \h </w:instrText>
        </w:r>
        <w:r>
          <w:rPr>
            <w:noProof/>
            <w:webHidden/>
          </w:rPr>
        </w:r>
        <w:r>
          <w:rPr>
            <w:noProof/>
            <w:webHidden/>
          </w:rPr>
          <w:fldChar w:fldCharType="separate"/>
        </w:r>
        <w:r w:rsidR="004E13B8">
          <w:rPr>
            <w:noProof/>
            <w:webHidden/>
          </w:rPr>
          <w:t>3</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39" w:history="1">
        <w:r w:rsidR="009F7054" w:rsidRPr="00C35671">
          <w:rPr>
            <w:rStyle w:val="Collegamentoipertestuale"/>
            <w:rFonts w:eastAsia="Times"/>
            <w:noProof/>
          </w:rPr>
          <w:t>2.1.2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Attività di gestione delle tariffe e del rapporto con gli utenti.</w:t>
        </w:r>
        <w:r w:rsidR="009F7054">
          <w:rPr>
            <w:noProof/>
            <w:webHidden/>
          </w:rPr>
          <w:tab/>
        </w:r>
        <w:r>
          <w:rPr>
            <w:noProof/>
            <w:webHidden/>
          </w:rPr>
          <w:fldChar w:fldCharType="begin"/>
        </w:r>
        <w:r w:rsidR="009F7054">
          <w:rPr>
            <w:noProof/>
            <w:webHidden/>
          </w:rPr>
          <w:instrText xml:space="preserve"> PAGEREF _Toc75194839 \h </w:instrText>
        </w:r>
        <w:r>
          <w:rPr>
            <w:noProof/>
            <w:webHidden/>
          </w:rPr>
        </w:r>
        <w:r>
          <w:rPr>
            <w:noProof/>
            <w:webHidden/>
          </w:rPr>
          <w:fldChar w:fldCharType="separate"/>
        </w:r>
        <w:r w:rsidR="004E13B8">
          <w:rPr>
            <w:noProof/>
            <w:webHidden/>
          </w:rPr>
          <w:t>4</w:t>
        </w:r>
        <w:r>
          <w:rPr>
            <w:noProof/>
            <w:webHidden/>
          </w:rPr>
          <w:fldChar w:fldCharType="end"/>
        </w:r>
      </w:hyperlink>
    </w:p>
    <w:p w:rsidR="009F7054" w:rsidRDefault="005E38AD">
      <w:pPr>
        <w:pStyle w:val="Sommario1"/>
        <w:rPr>
          <w:rFonts w:asciiTheme="minorHAnsi" w:eastAsiaTheme="minorEastAsia" w:hAnsiTheme="minorHAnsi" w:cstheme="minorBidi"/>
          <w:b w:val="0"/>
          <w:sz w:val="22"/>
          <w:szCs w:val="22"/>
        </w:rPr>
      </w:pPr>
      <w:hyperlink w:anchor="_Toc75194840" w:history="1">
        <w:r w:rsidR="009F7054" w:rsidRPr="00C35671">
          <w:rPr>
            <w:rStyle w:val="Collegamentoipertestuale"/>
          </w:rPr>
          <w:t>3</w:t>
        </w:r>
        <w:r w:rsidR="009F7054">
          <w:rPr>
            <w:rFonts w:asciiTheme="minorHAnsi" w:eastAsiaTheme="minorEastAsia" w:hAnsiTheme="minorHAnsi" w:cstheme="minorBidi"/>
            <w:b w:val="0"/>
            <w:sz w:val="22"/>
            <w:szCs w:val="22"/>
          </w:rPr>
          <w:tab/>
        </w:r>
        <w:r w:rsidR="009F7054" w:rsidRPr="00C35671">
          <w:rPr>
            <w:rStyle w:val="Collegamentoipertestuale"/>
          </w:rPr>
          <w:t>Dati relativi alla gestione dell’ambito o bacino di affidamento forniti dal gestore</w:t>
        </w:r>
        <w:r w:rsidR="009F7054">
          <w:rPr>
            <w:webHidden/>
          </w:rPr>
          <w:tab/>
        </w:r>
        <w:r>
          <w:rPr>
            <w:webHidden/>
          </w:rPr>
          <w:fldChar w:fldCharType="begin"/>
        </w:r>
        <w:r w:rsidR="009F7054">
          <w:rPr>
            <w:webHidden/>
          </w:rPr>
          <w:instrText xml:space="preserve"> PAGEREF _Toc75194840 \h </w:instrText>
        </w:r>
        <w:r>
          <w:rPr>
            <w:webHidden/>
          </w:rPr>
        </w:r>
        <w:r>
          <w:rPr>
            <w:webHidden/>
          </w:rPr>
          <w:fldChar w:fldCharType="separate"/>
        </w:r>
        <w:r w:rsidR="004E13B8">
          <w:rPr>
            <w:webHidden/>
          </w:rPr>
          <w:t>4</w:t>
        </w:r>
        <w:r>
          <w:rPr>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41" w:history="1">
        <w:r w:rsidR="009F7054" w:rsidRPr="00C35671">
          <w:rPr>
            <w:rStyle w:val="Collegamentoipertestuale"/>
            <w:rFonts w:eastAsia="Times"/>
            <w:noProof/>
          </w:rPr>
          <w:t>3.1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tecnici patrimoniali</w:t>
        </w:r>
        <w:r w:rsidR="009F7054">
          <w:rPr>
            <w:noProof/>
            <w:webHidden/>
          </w:rPr>
          <w:tab/>
        </w:r>
        <w:r>
          <w:rPr>
            <w:noProof/>
            <w:webHidden/>
          </w:rPr>
          <w:fldChar w:fldCharType="begin"/>
        </w:r>
        <w:r w:rsidR="009F7054">
          <w:rPr>
            <w:noProof/>
            <w:webHidden/>
          </w:rPr>
          <w:instrText xml:space="preserve"> PAGEREF _Toc75194841 \h </w:instrText>
        </w:r>
        <w:r>
          <w:rPr>
            <w:noProof/>
            <w:webHidden/>
          </w:rPr>
        </w:r>
        <w:r>
          <w:rPr>
            <w:noProof/>
            <w:webHidden/>
          </w:rPr>
          <w:fldChar w:fldCharType="separate"/>
        </w:r>
        <w:r w:rsidR="004E13B8">
          <w:rPr>
            <w:noProof/>
            <w:webHidden/>
          </w:rPr>
          <w:t>4</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42" w:history="1">
        <w:r w:rsidR="009F7054" w:rsidRPr="00C35671">
          <w:rPr>
            <w:rStyle w:val="Collegamentoipertestuale"/>
            <w:rFonts w:eastAsia="Times"/>
            <w:noProof/>
          </w:rPr>
          <w:t>3.1.1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sul territorio gestito e sull’affidamento</w:t>
        </w:r>
        <w:r w:rsidR="009F7054">
          <w:rPr>
            <w:noProof/>
            <w:webHidden/>
          </w:rPr>
          <w:tab/>
        </w:r>
        <w:r>
          <w:rPr>
            <w:noProof/>
            <w:webHidden/>
          </w:rPr>
          <w:fldChar w:fldCharType="begin"/>
        </w:r>
        <w:r w:rsidR="009F7054">
          <w:rPr>
            <w:noProof/>
            <w:webHidden/>
          </w:rPr>
          <w:instrText xml:space="preserve"> PAGEREF _Toc75194842 \h </w:instrText>
        </w:r>
        <w:r>
          <w:rPr>
            <w:noProof/>
            <w:webHidden/>
          </w:rPr>
        </w:r>
        <w:r>
          <w:rPr>
            <w:noProof/>
            <w:webHidden/>
          </w:rPr>
          <w:fldChar w:fldCharType="separate"/>
        </w:r>
        <w:r w:rsidR="004E13B8">
          <w:rPr>
            <w:noProof/>
            <w:webHidden/>
          </w:rPr>
          <w:t>4</w:t>
        </w:r>
        <w:r>
          <w:rPr>
            <w:noProof/>
            <w:webHidden/>
          </w:rPr>
          <w:fldChar w:fldCharType="end"/>
        </w:r>
      </w:hyperlink>
    </w:p>
    <w:p w:rsidR="009F7054" w:rsidRDefault="005E38AD">
      <w:pPr>
        <w:pStyle w:val="Sommario4"/>
        <w:tabs>
          <w:tab w:val="left" w:pos="2721"/>
        </w:tabs>
        <w:rPr>
          <w:rFonts w:asciiTheme="minorHAnsi" w:eastAsiaTheme="minorEastAsia" w:hAnsiTheme="minorHAnsi" w:cstheme="minorBidi"/>
          <w:noProof/>
          <w:sz w:val="22"/>
          <w:szCs w:val="22"/>
        </w:rPr>
      </w:pPr>
      <w:hyperlink w:anchor="_Toc75194843" w:history="1">
        <w:r w:rsidR="009F7054" w:rsidRPr="00C35671">
          <w:rPr>
            <w:rStyle w:val="Collegamentoipertestuale"/>
            <w:rFonts w:eastAsia="Times"/>
            <w:noProof/>
          </w:rPr>
          <w:t>3.1.1.1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Gestore del servizio integrato di gestione dei rifiuti urbani</w:t>
        </w:r>
        <w:r w:rsidR="009F7054">
          <w:rPr>
            <w:noProof/>
            <w:webHidden/>
          </w:rPr>
          <w:tab/>
        </w:r>
        <w:r>
          <w:rPr>
            <w:noProof/>
            <w:webHidden/>
          </w:rPr>
          <w:fldChar w:fldCharType="begin"/>
        </w:r>
        <w:r w:rsidR="009F7054">
          <w:rPr>
            <w:noProof/>
            <w:webHidden/>
          </w:rPr>
          <w:instrText xml:space="preserve"> PAGEREF _Toc75194843 \h </w:instrText>
        </w:r>
        <w:r>
          <w:rPr>
            <w:noProof/>
            <w:webHidden/>
          </w:rPr>
        </w:r>
        <w:r>
          <w:rPr>
            <w:noProof/>
            <w:webHidden/>
          </w:rPr>
          <w:fldChar w:fldCharType="separate"/>
        </w:r>
        <w:r w:rsidR="004E13B8">
          <w:rPr>
            <w:noProof/>
            <w:webHidden/>
          </w:rPr>
          <w:t>4</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44" w:history="1">
        <w:r w:rsidR="009F7054" w:rsidRPr="00C35671">
          <w:rPr>
            <w:rStyle w:val="Collegamentoipertestuale"/>
            <w:rFonts w:eastAsia="Times"/>
            <w:noProof/>
          </w:rPr>
          <w:t>3.1.2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tecnici e di qualità</w:t>
        </w:r>
        <w:r w:rsidR="009F7054">
          <w:rPr>
            <w:noProof/>
            <w:webHidden/>
          </w:rPr>
          <w:tab/>
        </w:r>
        <w:r>
          <w:rPr>
            <w:noProof/>
            <w:webHidden/>
          </w:rPr>
          <w:fldChar w:fldCharType="begin"/>
        </w:r>
        <w:r w:rsidR="009F7054">
          <w:rPr>
            <w:noProof/>
            <w:webHidden/>
          </w:rPr>
          <w:instrText xml:space="preserve"> PAGEREF _Toc75194844 \h </w:instrText>
        </w:r>
        <w:r>
          <w:rPr>
            <w:noProof/>
            <w:webHidden/>
          </w:rPr>
        </w:r>
        <w:r>
          <w:rPr>
            <w:noProof/>
            <w:webHidden/>
          </w:rPr>
          <w:fldChar w:fldCharType="separate"/>
        </w:r>
        <w:r w:rsidR="004E13B8">
          <w:rPr>
            <w:noProof/>
            <w:webHidden/>
          </w:rPr>
          <w:t>5</w:t>
        </w:r>
        <w:r>
          <w:rPr>
            <w:noProof/>
            <w:webHidden/>
          </w:rPr>
          <w:fldChar w:fldCharType="end"/>
        </w:r>
      </w:hyperlink>
    </w:p>
    <w:p w:rsidR="009F7054" w:rsidRDefault="005E38AD">
      <w:pPr>
        <w:pStyle w:val="Sommario4"/>
        <w:tabs>
          <w:tab w:val="left" w:pos="2721"/>
        </w:tabs>
        <w:rPr>
          <w:rFonts w:asciiTheme="minorHAnsi" w:eastAsiaTheme="minorEastAsia" w:hAnsiTheme="minorHAnsi" w:cstheme="minorBidi"/>
          <w:noProof/>
          <w:sz w:val="22"/>
          <w:szCs w:val="22"/>
        </w:rPr>
      </w:pPr>
      <w:hyperlink w:anchor="_Toc75194845" w:history="1">
        <w:r w:rsidR="009F7054" w:rsidRPr="00C35671">
          <w:rPr>
            <w:rStyle w:val="Collegamentoipertestuale"/>
            <w:rFonts w:eastAsia="Times"/>
            <w:noProof/>
          </w:rPr>
          <w:t>3.1.2.1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Obiettivo Raccolta Differenziata</w:t>
        </w:r>
        <w:r w:rsidR="009F7054">
          <w:rPr>
            <w:noProof/>
            <w:webHidden/>
          </w:rPr>
          <w:tab/>
        </w:r>
        <w:r>
          <w:rPr>
            <w:noProof/>
            <w:webHidden/>
          </w:rPr>
          <w:fldChar w:fldCharType="begin"/>
        </w:r>
        <w:r w:rsidR="009F7054">
          <w:rPr>
            <w:noProof/>
            <w:webHidden/>
          </w:rPr>
          <w:instrText xml:space="preserve"> PAGEREF _Toc75194845 \h </w:instrText>
        </w:r>
        <w:r>
          <w:rPr>
            <w:noProof/>
            <w:webHidden/>
          </w:rPr>
        </w:r>
        <w:r>
          <w:rPr>
            <w:noProof/>
            <w:webHidden/>
          </w:rPr>
          <w:fldChar w:fldCharType="separate"/>
        </w:r>
        <w:r w:rsidR="004E13B8">
          <w:rPr>
            <w:noProof/>
            <w:webHidden/>
          </w:rPr>
          <w:t>5</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46" w:history="1">
        <w:r w:rsidR="009F7054" w:rsidRPr="00C35671">
          <w:rPr>
            <w:rStyle w:val="Collegamentoipertestuale"/>
            <w:rFonts w:eastAsia="Times"/>
            <w:noProof/>
          </w:rPr>
          <w:t>3.1.3</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Fonti di finanziamento</w:t>
        </w:r>
        <w:r w:rsidR="009F7054">
          <w:rPr>
            <w:noProof/>
            <w:webHidden/>
          </w:rPr>
          <w:tab/>
        </w:r>
        <w:r>
          <w:rPr>
            <w:noProof/>
            <w:webHidden/>
          </w:rPr>
          <w:fldChar w:fldCharType="begin"/>
        </w:r>
        <w:r w:rsidR="009F7054">
          <w:rPr>
            <w:noProof/>
            <w:webHidden/>
          </w:rPr>
          <w:instrText xml:space="preserve"> PAGEREF _Toc75194846 \h </w:instrText>
        </w:r>
        <w:r>
          <w:rPr>
            <w:noProof/>
            <w:webHidden/>
          </w:rPr>
        </w:r>
        <w:r>
          <w:rPr>
            <w:noProof/>
            <w:webHidden/>
          </w:rPr>
          <w:fldChar w:fldCharType="separate"/>
        </w:r>
        <w:r w:rsidR="004E13B8">
          <w:rPr>
            <w:noProof/>
            <w:webHidden/>
          </w:rPr>
          <w:t>6</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47" w:history="1">
        <w:r w:rsidR="009F7054" w:rsidRPr="00C35671">
          <w:rPr>
            <w:rStyle w:val="Collegamentoipertestuale"/>
            <w:rFonts w:eastAsia="Times"/>
            <w:noProof/>
          </w:rPr>
          <w:t>3.2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per la determinazione delle entrate di riferimento</w:t>
        </w:r>
        <w:r w:rsidR="009F7054">
          <w:rPr>
            <w:noProof/>
            <w:webHidden/>
          </w:rPr>
          <w:tab/>
        </w:r>
        <w:r>
          <w:rPr>
            <w:noProof/>
            <w:webHidden/>
          </w:rPr>
          <w:fldChar w:fldCharType="begin"/>
        </w:r>
        <w:r w:rsidR="009F7054">
          <w:rPr>
            <w:noProof/>
            <w:webHidden/>
          </w:rPr>
          <w:instrText xml:space="preserve"> PAGEREF _Toc75194847 \h </w:instrText>
        </w:r>
        <w:r>
          <w:rPr>
            <w:noProof/>
            <w:webHidden/>
          </w:rPr>
        </w:r>
        <w:r>
          <w:rPr>
            <w:noProof/>
            <w:webHidden/>
          </w:rPr>
          <w:fldChar w:fldCharType="separate"/>
        </w:r>
        <w:r w:rsidR="004E13B8">
          <w:rPr>
            <w:noProof/>
            <w:webHidden/>
          </w:rPr>
          <w:t>6</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48" w:history="1">
        <w:r w:rsidR="009F7054" w:rsidRPr="00C35671">
          <w:rPr>
            <w:rStyle w:val="Collegamentoipertestuale"/>
            <w:rFonts w:eastAsia="Times"/>
            <w:noProof/>
          </w:rPr>
          <w:t>3.2.1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di conto economico</w:t>
        </w:r>
        <w:r w:rsidR="009F7054">
          <w:rPr>
            <w:noProof/>
            <w:webHidden/>
          </w:rPr>
          <w:tab/>
        </w:r>
        <w:r>
          <w:rPr>
            <w:noProof/>
            <w:webHidden/>
          </w:rPr>
          <w:fldChar w:fldCharType="begin"/>
        </w:r>
        <w:r w:rsidR="009F7054">
          <w:rPr>
            <w:noProof/>
            <w:webHidden/>
          </w:rPr>
          <w:instrText xml:space="preserve"> PAGEREF _Toc75194848 \h </w:instrText>
        </w:r>
        <w:r>
          <w:rPr>
            <w:noProof/>
            <w:webHidden/>
          </w:rPr>
        </w:r>
        <w:r>
          <w:rPr>
            <w:noProof/>
            <w:webHidden/>
          </w:rPr>
          <w:fldChar w:fldCharType="separate"/>
        </w:r>
        <w:r w:rsidR="004E13B8">
          <w:rPr>
            <w:noProof/>
            <w:webHidden/>
          </w:rPr>
          <w:t>7</w:t>
        </w:r>
        <w:r>
          <w:rPr>
            <w:noProof/>
            <w:webHidden/>
          </w:rPr>
          <w:fldChar w:fldCharType="end"/>
        </w:r>
      </w:hyperlink>
    </w:p>
    <w:p w:rsidR="009F7054" w:rsidRDefault="005E38AD">
      <w:pPr>
        <w:pStyle w:val="Sommario4"/>
        <w:tabs>
          <w:tab w:val="left" w:pos="2721"/>
        </w:tabs>
        <w:rPr>
          <w:rFonts w:asciiTheme="minorHAnsi" w:eastAsiaTheme="minorEastAsia" w:hAnsiTheme="minorHAnsi" w:cstheme="minorBidi"/>
          <w:noProof/>
          <w:sz w:val="22"/>
          <w:szCs w:val="22"/>
        </w:rPr>
      </w:pPr>
      <w:hyperlink w:anchor="_Toc75194849" w:history="1">
        <w:r w:rsidR="009F7054" w:rsidRPr="00C35671">
          <w:rPr>
            <w:rStyle w:val="Collegamentoipertestuale"/>
            <w:rFonts w:eastAsia="Times"/>
            <w:noProof/>
          </w:rPr>
          <w:t>3.2.1.1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Determinazione dei Costi</w:t>
        </w:r>
        <w:r w:rsidR="009F7054">
          <w:rPr>
            <w:noProof/>
            <w:webHidden/>
          </w:rPr>
          <w:tab/>
        </w:r>
        <w:r>
          <w:rPr>
            <w:noProof/>
            <w:webHidden/>
          </w:rPr>
          <w:fldChar w:fldCharType="begin"/>
        </w:r>
        <w:r w:rsidR="009F7054">
          <w:rPr>
            <w:noProof/>
            <w:webHidden/>
          </w:rPr>
          <w:instrText xml:space="preserve"> PAGEREF _Toc75194849 \h </w:instrText>
        </w:r>
        <w:r>
          <w:rPr>
            <w:noProof/>
            <w:webHidden/>
          </w:rPr>
        </w:r>
        <w:r>
          <w:rPr>
            <w:noProof/>
            <w:webHidden/>
          </w:rPr>
          <w:fldChar w:fldCharType="separate"/>
        </w:r>
        <w:r w:rsidR="004E13B8">
          <w:rPr>
            <w:noProof/>
            <w:webHidden/>
          </w:rPr>
          <w:t>7</w:t>
        </w:r>
        <w:r>
          <w:rPr>
            <w:noProof/>
            <w:webHidden/>
          </w:rPr>
          <w:fldChar w:fldCharType="end"/>
        </w:r>
      </w:hyperlink>
    </w:p>
    <w:p w:rsidR="009F7054" w:rsidRDefault="005E38AD">
      <w:pPr>
        <w:pStyle w:val="Sommario4"/>
        <w:rPr>
          <w:rFonts w:asciiTheme="minorHAnsi" w:eastAsiaTheme="minorEastAsia" w:hAnsiTheme="minorHAnsi" w:cstheme="minorBidi"/>
          <w:noProof/>
          <w:sz w:val="22"/>
          <w:szCs w:val="22"/>
        </w:rPr>
      </w:pPr>
      <w:hyperlink w:anchor="_Toc75194850" w:history="1">
        <w:r w:rsidR="009F7054" w:rsidRPr="00C35671">
          <w:rPr>
            <w:rStyle w:val="Collegamentoipertestuale"/>
            <w:rFonts w:eastAsia="Times"/>
            <w:noProof/>
          </w:rPr>
          <w:t>3.2.1.2  Costi operativi comuni CC2020</w:t>
        </w:r>
        <w:r w:rsidR="009F7054">
          <w:rPr>
            <w:noProof/>
            <w:webHidden/>
          </w:rPr>
          <w:tab/>
        </w:r>
        <w:r>
          <w:rPr>
            <w:noProof/>
            <w:webHidden/>
          </w:rPr>
          <w:fldChar w:fldCharType="begin"/>
        </w:r>
        <w:r w:rsidR="009F7054">
          <w:rPr>
            <w:noProof/>
            <w:webHidden/>
          </w:rPr>
          <w:instrText xml:space="preserve"> PAGEREF _Toc75194850 \h </w:instrText>
        </w:r>
        <w:r>
          <w:rPr>
            <w:noProof/>
            <w:webHidden/>
          </w:rPr>
        </w:r>
        <w:r>
          <w:rPr>
            <w:noProof/>
            <w:webHidden/>
          </w:rPr>
          <w:fldChar w:fldCharType="separate"/>
        </w:r>
        <w:r w:rsidR="004E13B8">
          <w:rPr>
            <w:noProof/>
            <w:webHidden/>
          </w:rPr>
          <w:t>7</w:t>
        </w:r>
        <w:r>
          <w:rPr>
            <w:noProof/>
            <w:webHidden/>
          </w:rPr>
          <w:fldChar w:fldCharType="end"/>
        </w:r>
      </w:hyperlink>
    </w:p>
    <w:p w:rsidR="009F7054" w:rsidRDefault="005E38AD">
      <w:pPr>
        <w:pStyle w:val="Sommario4"/>
        <w:tabs>
          <w:tab w:val="left" w:pos="2721"/>
        </w:tabs>
        <w:rPr>
          <w:rFonts w:asciiTheme="minorHAnsi" w:eastAsiaTheme="minorEastAsia" w:hAnsiTheme="minorHAnsi" w:cstheme="minorBidi"/>
          <w:noProof/>
          <w:sz w:val="22"/>
          <w:szCs w:val="22"/>
        </w:rPr>
      </w:pPr>
      <w:hyperlink w:anchor="_Toc75194851" w:history="1">
        <w:r w:rsidR="009F7054" w:rsidRPr="00C35671">
          <w:rPr>
            <w:rStyle w:val="Collegamentoipertestuale"/>
            <w:rFonts w:eastAsia="Times"/>
            <w:noProof/>
          </w:rPr>
          <w:t>3.2.1.3</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Ulteriori componenti ex deliberazioni 443/2019/R/RIF, 238/2020/R/RIF e 493/2020/R/RIF</w:t>
        </w:r>
        <w:r w:rsidR="009F7054">
          <w:rPr>
            <w:noProof/>
            <w:webHidden/>
          </w:rPr>
          <w:tab/>
        </w:r>
        <w:r>
          <w:rPr>
            <w:noProof/>
            <w:webHidden/>
          </w:rPr>
          <w:fldChar w:fldCharType="begin"/>
        </w:r>
        <w:r w:rsidR="009F7054">
          <w:rPr>
            <w:noProof/>
            <w:webHidden/>
          </w:rPr>
          <w:instrText xml:space="preserve"> PAGEREF _Toc75194851 \h </w:instrText>
        </w:r>
        <w:r>
          <w:rPr>
            <w:noProof/>
            <w:webHidden/>
          </w:rPr>
        </w:r>
        <w:r>
          <w:rPr>
            <w:noProof/>
            <w:webHidden/>
          </w:rPr>
          <w:fldChar w:fldCharType="separate"/>
        </w:r>
        <w:r w:rsidR="004E13B8">
          <w:rPr>
            <w:noProof/>
            <w:webHidden/>
          </w:rPr>
          <w:t>8</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52" w:history="1">
        <w:r w:rsidR="009F7054" w:rsidRPr="00C35671">
          <w:rPr>
            <w:rStyle w:val="Collegamentoipertestuale"/>
            <w:rFonts w:eastAsia="Times"/>
            <w:noProof/>
          </w:rPr>
          <w:t>3.2.2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Dati relativi ai costi di capitale</w:t>
        </w:r>
        <w:r w:rsidR="009F7054">
          <w:rPr>
            <w:noProof/>
            <w:webHidden/>
          </w:rPr>
          <w:tab/>
        </w:r>
        <w:r>
          <w:rPr>
            <w:noProof/>
            <w:webHidden/>
          </w:rPr>
          <w:fldChar w:fldCharType="begin"/>
        </w:r>
        <w:r w:rsidR="009F7054">
          <w:rPr>
            <w:noProof/>
            <w:webHidden/>
          </w:rPr>
          <w:instrText xml:space="preserve"> PAGEREF _Toc75194852 \h </w:instrText>
        </w:r>
        <w:r>
          <w:rPr>
            <w:noProof/>
            <w:webHidden/>
          </w:rPr>
        </w:r>
        <w:r>
          <w:rPr>
            <w:noProof/>
            <w:webHidden/>
          </w:rPr>
          <w:fldChar w:fldCharType="separate"/>
        </w:r>
        <w:r w:rsidR="004E13B8">
          <w:rPr>
            <w:noProof/>
            <w:webHidden/>
          </w:rPr>
          <w:t>8</w:t>
        </w:r>
        <w:r>
          <w:rPr>
            <w:noProof/>
            <w:webHidden/>
          </w:rPr>
          <w:fldChar w:fldCharType="end"/>
        </w:r>
      </w:hyperlink>
    </w:p>
    <w:p w:rsidR="009F7054" w:rsidRDefault="005E38AD">
      <w:pPr>
        <w:pStyle w:val="Sommario4"/>
        <w:tabs>
          <w:tab w:val="left" w:pos="2721"/>
        </w:tabs>
        <w:rPr>
          <w:rFonts w:asciiTheme="minorHAnsi" w:eastAsiaTheme="minorEastAsia" w:hAnsiTheme="minorHAnsi" w:cstheme="minorBidi"/>
          <w:noProof/>
          <w:sz w:val="22"/>
          <w:szCs w:val="22"/>
        </w:rPr>
      </w:pPr>
      <w:hyperlink w:anchor="_Toc75194853" w:history="1">
        <w:r w:rsidR="009F7054" w:rsidRPr="00C35671">
          <w:rPr>
            <w:rStyle w:val="Collegamentoipertestuale"/>
            <w:rFonts w:eastAsia="Times"/>
            <w:noProof/>
          </w:rPr>
          <w:t>3.2.2.1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Determinazione componente Acc2021 – componente a copertura degli accantonamenti ammessi al riconoscimento tariffario</w:t>
        </w:r>
        <w:r w:rsidR="009F7054">
          <w:rPr>
            <w:noProof/>
            <w:webHidden/>
          </w:rPr>
          <w:tab/>
        </w:r>
        <w:r>
          <w:rPr>
            <w:noProof/>
            <w:webHidden/>
          </w:rPr>
          <w:fldChar w:fldCharType="begin"/>
        </w:r>
        <w:r w:rsidR="009F7054">
          <w:rPr>
            <w:noProof/>
            <w:webHidden/>
          </w:rPr>
          <w:instrText xml:space="preserve"> PAGEREF _Toc75194853 \h </w:instrText>
        </w:r>
        <w:r>
          <w:rPr>
            <w:noProof/>
            <w:webHidden/>
          </w:rPr>
        </w:r>
        <w:r>
          <w:rPr>
            <w:noProof/>
            <w:webHidden/>
          </w:rPr>
          <w:fldChar w:fldCharType="separate"/>
        </w:r>
        <w:r w:rsidR="004E13B8">
          <w:rPr>
            <w:noProof/>
            <w:webHidden/>
          </w:rPr>
          <w:t>8</w:t>
        </w:r>
        <w:r>
          <w:rPr>
            <w:noProof/>
            <w:webHidden/>
          </w:rPr>
          <w:fldChar w:fldCharType="end"/>
        </w:r>
      </w:hyperlink>
    </w:p>
    <w:p w:rsidR="009F7054" w:rsidRDefault="005E38AD">
      <w:pPr>
        <w:pStyle w:val="Sommario1"/>
        <w:rPr>
          <w:rFonts w:asciiTheme="minorHAnsi" w:eastAsiaTheme="minorEastAsia" w:hAnsiTheme="minorHAnsi" w:cstheme="minorBidi"/>
          <w:b w:val="0"/>
          <w:sz w:val="22"/>
          <w:szCs w:val="22"/>
        </w:rPr>
      </w:pPr>
      <w:hyperlink w:anchor="_Toc75194854" w:history="1">
        <w:r w:rsidR="009F7054" w:rsidRPr="00C35671">
          <w:rPr>
            <w:rStyle w:val="Collegamentoipertestuale"/>
          </w:rPr>
          <w:t>4</w:t>
        </w:r>
        <w:r w:rsidR="009F7054">
          <w:rPr>
            <w:rFonts w:asciiTheme="minorHAnsi" w:eastAsiaTheme="minorEastAsia" w:hAnsiTheme="minorHAnsi" w:cstheme="minorBidi"/>
            <w:b w:val="0"/>
            <w:sz w:val="22"/>
            <w:szCs w:val="22"/>
          </w:rPr>
          <w:tab/>
        </w:r>
        <w:r w:rsidR="009F7054" w:rsidRPr="00C35671">
          <w:rPr>
            <w:rStyle w:val="Collegamentoipertestuale"/>
          </w:rPr>
          <w:t>Valutazioni dell’Ente territorialmente competente</w:t>
        </w:r>
        <w:r w:rsidR="009F7054">
          <w:rPr>
            <w:webHidden/>
          </w:rPr>
          <w:tab/>
        </w:r>
        <w:r>
          <w:rPr>
            <w:webHidden/>
          </w:rPr>
          <w:fldChar w:fldCharType="begin"/>
        </w:r>
        <w:r w:rsidR="009F7054">
          <w:rPr>
            <w:webHidden/>
          </w:rPr>
          <w:instrText xml:space="preserve"> PAGEREF _Toc75194854 \h </w:instrText>
        </w:r>
        <w:r>
          <w:rPr>
            <w:webHidden/>
          </w:rPr>
        </w:r>
        <w:r>
          <w:rPr>
            <w:webHidden/>
          </w:rPr>
          <w:fldChar w:fldCharType="separate"/>
        </w:r>
        <w:r w:rsidR="004E13B8">
          <w:rPr>
            <w:webHidden/>
          </w:rPr>
          <w:t>9</w:t>
        </w:r>
        <w:r>
          <w:rPr>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55" w:history="1">
        <w:r w:rsidR="009F7054" w:rsidRPr="00C35671">
          <w:rPr>
            <w:rStyle w:val="Collegamentoipertestuale"/>
            <w:rFonts w:eastAsia="Times"/>
            <w:noProof/>
          </w:rPr>
          <w:t>4.1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Attività di validazione svolta</w:t>
        </w:r>
        <w:r w:rsidR="009F7054">
          <w:rPr>
            <w:noProof/>
            <w:webHidden/>
          </w:rPr>
          <w:tab/>
        </w:r>
        <w:r>
          <w:rPr>
            <w:noProof/>
            <w:webHidden/>
          </w:rPr>
          <w:fldChar w:fldCharType="begin"/>
        </w:r>
        <w:r w:rsidR="009F7054">
          <w:rPr>
            <w:noProof/>
            <w:webHidden/>
          </w:rPr>
          <w:instrText xml:space="preserve"> PAGEREF _Toc75194855 \h </w:instrText>
        </w:r>
        <w:r>
          <w:rPr>
            <w:noProof/>
            <w:webHidden/>
          </w:rPr>
        </w:r>
        <w:r>
          <w:rPr>
            <w:noProof/>
            <w:webHidden/>
          </w:rPr>
          <w:fldChar w:fldCharType="separate"/>
        </w:r>
        <w:r w:rsidR="004E13B8">
          <w:rPr>
            <w:noProof/>
            <w:webHidden/>
          </w:rPr>
          <w:t>9</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56" w:history="1">
        <w:r w:rsidR="009F7054" w:rsidRPr="00C35671">
          <w:rPr>
            <w:rStyle w:val="Collegamentoipertestuale"/>
            <w:rFonts w:eastAsia="Times"/>
            <w:noProof/>
          </w:rPr>
          <w:t>4.2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Limite alla crescita annuale delle entrate tariffarie</w:t>
        </w:r>
        <w:r w:rsidR="009F7054">
          <w:rPr>
            <w:noProof/>
            <w:webHidden/>
          </w:rPr>
          <w:tab/>
        </w:r>
        <w:r>
          <w:rPr>
            <w:noProof/>
            <w:webHidden/>
          </w:rPr>
          <w:fldChar w:fldCharType="begin"/>
        </w:r>
        <w:r w:rsidR="009F7054">
          <w:rPr>
            <w:noProof/>
            <w:webHidden/>
          </w:rPr>
          <w:instrText xml:space="preserve"> PAGEREF _Toc75194856 \h </w:instrText>
        </w:r>
        <w:r>
          <w:rPr>
            <w:noProof/>
            <w:webHidden/>
          </w:rPr>
        </w:r>
        <w:r>
          <w:rPr>
            <w:noProof/>
            <w:webHidden/>
          </w:rPr>
          <w:fldChar w:fldCharType="separate"/>
        </w:r>
        <w:r w:rsidR="004E13B8">
          <w:rPr>
            <w:noProof/>
            <w:webHidden/>
          </w:rPr>
          <w:t>10</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57" w:history="1">
        <w:r w:rsidR="009F7054" w:rsidRPr="00C35671">
          <w:rPr>
            <w:rStyle w:val="Collegamentoipertestuale"/>
            <w:rFonts w:eastAsia="Times"/>
            <w:noProof/>
          </w:rPr>
          <w:t>4.2.1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Condizione per la riclassificazione dei costi fissi e variabili</w:t>
        </w:r>
        <w:r w:rsidR="009F7054">
          <w:rPr>
            <w:noProof/>
            <w:webHidden/>
          </w:rPr>
          <w:tab/>
        </w:r>
        <w:r>
          <w:rPr>
            <w:noProof/>
            <w:webHidden/>
          </w:rPr>
          <w:fldChar w:fldCharType="begin"/>
        </w:r>
        <w:r w:rsidR="009F7054">
          <w:rPr>
            <w:noProof/>
            <w:webHidden/>
          </w:rPr>
          <w:instrText xml:space="preserve"> PAGEREF _Toc75194857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58" w:history="1">
        <w:r w:rsidR="009F7054" w:rsidRPr="00C35671">
          <w:rPr>
            <w:rStyle w:val="Collegamentoipertestuale"/>
            <w:rFonts w:eastAsia="Times"/>
            <w:noProof/>
          </w:rPr>
          <w:t>4.3</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Costi operativi incentivanti</w:t>
        </w:r>
        <w:r w:rsidR="009F7054">
          <w:rPr>
            <w:noProof/>
            <w:webHidden/>
          </w:rPr>
          <w:tab/>
        </w:r>
        <w:r>
          <w:rPr>
            <w:noProof/>
            <w:webHidden/>
          </w:rPr>
          <w:fldChar w:fldCharType="begin"/>
        </w:r>
        <w:r w:rsidR="009F7054">
          <w:rPr>
            <w:noProof/>
            <w:webHidden/>
          </w:rPr>
          <w:instrText xml:space="preserve"> PAGEREF _Toc75194858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59" w:history="1">
        <w:r w:rsidR="009F7054" w:rsidRPr="00C35671">
          <w:rPr>
            <w:rStyle w:val="Collegamentoipertestuale"/>
            <w:rFonts w:eastAsia="Times"/>
            <w:noProof/>
          </w:rPr>
          <w:t>4.4</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Eventuale superamento del limite alla crescita annuale delle entrate tariffarie</w:t>
        </w:r>
        <w:r w:rsidR="009F7054">
          <w:rPr>
            <w:noProof/>
            <w:webHidden/>
          </w:rPr>
          <w:tab/>
        </w:r>
        <w:r>
          <w:rPr>
            <w:noProof/>
            <w:webHidden/>
          </w:rPr>
          <w:fldChar w:fldCharType="begin"/>
        </w:r>
        <w:r w:rsidR="009F7054">
          <w:rPr>
            <w:noProof/>
            <w:webHidden/>
          </w:rPr>
          <w:instrText xml:space="preserve"> PAGEREF _Toc75194859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60" w:history="1">
        <w:r w:rsidR="009F7054" w:rsidRPr="00C35671">
          <w:rPr>
            <w:rStyle w:val="Collegamentoipertestuale"/>
            <w:rFonts w:eastAsia="Times"/>
            <w:noProof/>
          </w:rPr>
          <w:t>4.5</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Focus sulla gradualità per le annualità 2018 e 2019</w:t>
        </w:r>
        <w:r w:rsidR="009F7054">
          <w:rPr>
            <w:noProof/>
            <w:webHidden/>
          </w:rPr>
          <w:tab/>
        </w:r>
        <w:r>
          <w:rPr>
            <w:noProof/>
            <w:webHidden/>
          </w:rPr>
          <w:fldChar w:fldCharType="begin"/>
        </w:r>
        <w:r w:rsidR="009F7054">
          <w:rPr>
            <w:noProof/>
            <w:webHidden/>
          </w:rPr>
          <w:instrText xml:space="preserve"> PAGEREF _Toc75194860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61" w:history="1">
        <w:r w:rsidR="009F7054" w:rsidRPr="00C35671">
          <w:rPr>
            <w:rStyle w:val="Collegamentoipertestuale"/>
            <w:rFonts w:eastAsia="Times"/>
            <w:noProof/>
          </w:rPr>
          <w:t>4.6</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 xml:space="preserve">Focus sulla valorizzazione dei fattori di </w:t>
        </w:r>
        <w:r w:rsidR="009F7054" w:rsidRPr="00C35671">
          <w:rPr>
            <w:rStyle w:val="Collegamentoipertestuale"/>
            <w:rFonts w:eastAsia="Times"/>
            <w:i/>
            <w:noProof/>
          </w:rPr>
          <w:t>sharing</w:t>
        </w:r>
        <w:r w:rsidR="009F7054">
          <w:rPr>
            <w:noProof/>
            <w:webHidden/>
          </w:rPr>
          <w:tab/>
        </w:r>
        <w:r>
          <w:rPr>
            <w:noProof/>
            <w:webHidden/>
          </w:rPr>
          <w:fldChar w:fldCharType="begin"/>
        </w:r>
        <w:r w:rsidR="009F7054">
          <w:rPr>
            <w:noProof/>
            <w:webHidden/>
          </w:rPr>
          <w:instrText xml:space="preserve"> PAGEREF _Toc75194861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2"/>
        <w:rPr>
          <w:rFonts w:asciiTheme="minorHAnsi" w:eastAsiaTheme="minorEastAsia" w:hAnsiTheme="minorHAnsi" w:cstheme="minorBidi"/>
          <w:noProof/>
          <w:sz w:val="22"/>
          <w:szCs w:val="22"/>
        </w:rPr>
      </w:pPr>
      <w:hyperlink w:anchor="_Toc75194862" w:history="1">
        <w:r w:rsidR="009F7054" w:rsidRPr="00C35671">
          <w:rPr>
            <w:rStyle w:val="Collegamentoipertestuale"/>
            <w:rFonts w:eastAsia="Times"/>
            <w:noProof/>
          </w:rPr>
          <w:t>4.7</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Scelta degli ulteriori parametri</w:t>
        </w:r>
        <w:r w:rsidR="009F7054">
          <w:rPr>
            <w:noProof/>
            <w:webHidden/>
          </w:rPr>
          <w:tab/>
        </w:r>
        <w:r>
          <w:rPr>
            <w:noProof/>
            <w:webHidden/>
          </w:rPr>
          <w:fldChar w:fldCharType="begin"/>
        </w:r>
        <w:r w:rsidR="009F7054">
          <w:rPr>
            <w:noProof/>
            <w:webHidden/>
          </w:rPr>
          <w:instrText xml:space="preserve"> PAGEREF _Toc75194862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63" w:history="1">
        <w:r w:rsidR="009F7054" w:rsidRPr="00C35671">
          <w:rPr>
            <w:rStyle w:val="Collegamentoipertestuale"/>
            <w:rFonts w:eastAsia="Times"/>
            <w:noProof/>
          </w:rPr>
          <w:t>4.7.1</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Detrazioni di cui al comma 1.4 della Determina n. 2/DRIF/2021</w:t>
        </w:r>
        <w:r w:rsidR="009F7054">
          <w:rPr>
            <w:noProof/>
            <w:webHidden/>
          </w:rPr>
          <w:tab/>
        </w:r>
        <w:r>
          <w:rPr>
            <w:noProof/>
            <w:webHidden/>
          </w:rPr>
          <w:fldChar w:fldCharType="begin"/>
        </w:r>
        <w:r w:rsidR="009F7054">
          <w:rPr>
            <w:noProof/>
            <w:webHidden/>
          </w:rPr>
          <w:instrText xml:space="preserve"> PAGEREF _Toc75194863 \h </w:instrText>
        </w:r>
        <w:r>
          <w:rPr>
            <w:noProof/>
            <w:webHidden/>
          </w:rPr>
        </w:r>
        <w:r>
          <w:rPr>
            <w:noProof/>
            <w:webHidden/>
          </w:rPr>
          <w:fldChar w:fldCharType="separate"/>
        </w:r>
        <w:r w:rsidR="004E13B8">
          <w:rPr>
            <w:noProof/>
            <w:webHidden/>
          </w:rPr>
          <w:t>11</w:t>
        </w:r>
        <w:r>
          <w:rPr>
            <w:noProof/>
            <w:webHidden/>
          </w:rPr>
          <w:fldChar w:fldCharType="end"/>
        </w:r>
      </w:hyperlink>
    </w:p>
    <w:p w:rsidR="009F7054" w:rsidRDefault="005E38AD">
      <w:pPr>
        <w:pStyle w:val="Sommario3"/>
        <w:tabs>
          <w:tab w:val="left" w:pos="1871"/>
        </w:tabs>
        <w:rPr>
          <w:rFonts w:asciiTheme="minorHAnsi" w:eastAsiaTheme="minorEastAsia" w:hAnsiTheme="minorHAnsi" w:cstheme="minorBidi"/>
          <w:noProof/>
          <w:sz w:val="22"/>
          <w:szCs w:val="22"/>
        </w:rPr>
      </w:pPr>
      <w:hyperlink w:anchor="_Toc75194864" w:history="1">
        <w:r w:rsidR="009F7054" w:rsidRPr="00C35671">
          <w:rPr>
            <w:rStyle w:val="Collegamentoipertestuale"/>
            <w:rFonts w:eastAsia="Times"/>
            <w:noProof/>
          </w:rPr>
          <w:t>4.7.2</w:t>
        </w:r>
        <w:r w:rsidR="009F7054">
          <w:rPr>
            <w:rFonts w:asciiTheme="minorHAnsi" w:eastAsiaTheme="minorEastAsia" w:hAnsiTheme="minorHAnsi" w:cstheme="minorBidi"/>
            <w:noProof/>
            <w:sz w:val="22"/>
            <w:szCs w:val="22"/>
          </w:rPr>
          <w:tab/>
        </w:r>
        <w:r w:rsidR="009F7054" w:rsidRPr="00C35671">
          <w:rPr>
            <w:rStyle w:val="Collegamentoipertestuale"/>
            <w:rFonts w:eastAsia="Times"/>
            <w:noProof/>
          </w:rPr>
          <w:t>Scomposizione TARIFFA TARI 2021</w:t>
        </w:r>
        <w:r w:rsidR="009F7054">
          <w:rPr>
            <w:noProof/>
            <w:webHidden/>
          </w:rPr>
          <w:tab/>
        </w:r>
        <w:r>
          <w:rPr>
            <w:noProof/>
            <w:webHidden/>
          </w:rPr>
          <w:fldChar w:fldCharType="begin"/>
        </w:r>
        <w:r w:rsidR="009F7054">
          <w:rPr>
            <w:noProof/>
            <w:webHidden/>
          </w:rPr>
          <w:instrText xml:space="preserve"> PAGEREF _Toc75194864 \h </w:instrText>
        </w:r>
        <w:r>
          <w:rPr>
            <w:noProof/>
            <w:webHidden/>
          </w:rPr>
        </w:r>
        <w:r>
          <w:rPr>
            <w:noProof/>
            <w:webHidden/>
          </w:rPr>
          <w:fldChar w:fldCharType="separate"/>
        </w:r>
        <w:r w:rsidR="004E13B8">
          <w:rPr>
            <w:noProof/>
            <w:webHidden/>
          </w:rPr>
          <w:t>12</w:t>
        </w:r>
        <w:r>
          <w:rPr>
            <w:noProof/>
            <w:webHidden/>
          </w:rPr>
          <w:fldChar w:fldCharType="end"/>
        </w:r>
      </w:hyperlink>
    </w:p>
    <w:p w:rsidR="00AE0197" w:rsidRDefault="005E38AD" w:rsidP="00333B67">
      <w:pPr>
        <w:pStyle w:val="Titolo1"/>
        <w:numPr>
          <w:ilvl w:val="0"/>
          <w:numId w:val="0"/>
        </w:numPr>
        <w:ind w:left="432"/>
      </w:pPr>
      <w:r w:rsidRPr="00F92BA9">
        <w:fldChar w:fldCharType="end"/>
      </w:r>
    </w:p>
    <w:p w:rsidR="00925B6E" w:rsidRDefault="00925B6E" w:rsidP="00925B6E"/>
    <w:p w:rsidR="001A405B" w:rsidRDefault="001A405B" w:rsidP="00925B6E"/>
    <w:p w:rsidR="009F7054" w:rsidRDefault="009F7054" w:rsidP="00925B6E"/>
    <w:p w:rsidR="001A405B" w:rsidRPr="00925B6E" w:rsidRDefault="001A405B" w:rsidP="00925B6E"/>
    <w:p w:rsidR="00AE47BD" w:rsidRPr="00EE6E47" w:rsidRDefault="00AE47BD" w:rsidP="006A5114">
      <w:pPr>
        <w:pStyle w:val="Titolo1"/>
        <w:rPr>
          <w:rFonts w:cs="Times New Roman"/>
        </w:rPr>
      </w:pPr>
      <w:bookmarkStart w:id="0" w:name="_Toc75194835"/>
      <w:r w:rsidRPr="00F92BA9">
        <w:rPr>
          <w:rFonts w:cs="Times New Roman"/>
        </w:rPr>
        <w:lastRenderedPageBreak/>
        <w:t>Premessa</w:t>
      </w:r>
      <w:bookmarkEnd w:id="0"/>
    </w:p>
    <w:p w:rsidR="00ED5175" w:rsidRPr="00F92BA9" w:rsidRDefault="00ED5175" w:rsidP="006A5114">
      <w:r w:rsidRPr="00F92BA9">
        <w:t xml:space="preserve">La presente relazione di accompagnamento al Piano finanziario è redatta in ottemperanza all’art. 18 comma 3 </w:t>
      </w:r>
      <w:r w:rsidR="00D910D1" w:rsidRPr="00F92BA9">
        <w:t xml:space="preserve">dell’Allegato A </w:t>
      </w:r>
      <w:r w:rsidRPr="00F92BA9">
        <w:t xml:space="preserve">della Delibera 443/2019/R/Rif, emanata in data 31 ottobre 2019 dall’Autorità di Regolazione per Energia, Reti e Ambiente e rappresenta il documento necessario alla verifica dei criteri di corrispondenza tra i valori riportati nella modulistica relativa ai costi del servizio sostenuti dal Comune di </w:t>
      </w:r>
      <w:r w:rsidR="00E8757D">
        <w:t>SAN PIETRO IN GUARANO</w:t>
      </w:r>
      <w:r w:rsidRPr="00F92BA9">
        <w:t xml:space="preserve"> e i valori desumibili dalla documentazione contabile. </w:t>
      </w:r>
    </w:p>
    <w:p w:rsidR="00E00F2C" w:rsidRPr="00F92BA9" w:rsidRDefault="00E00F2C" w:rsidP="006A5114"/>
    <w:p w:rsidR="00ED5175" w:rsidRPr="00F92BA9" w:rsidRDefault="00ED5175" w:rsidP="006A5114">
      <w:r w:rsidRPr="00F92BA9">
        <w:t xml:space="preserve">La Delibera avente ad oggetto la “Definizione dei criteri di riconoscimento dei costi efficienti di esercizio e di investimento del servizio integrato dei rifiuti, per il periodo 2018-2021” ed il relativo Allegato A che definisce il “Metodo tariffario servizio integrato di gestione dei rifiuti 2018-2021” (MTR) per la determinazione delle componenti di costo ammesse a copertura tariffaria, concludono l’iter regolatorio iniziato nell’anno 2018 che ha previsto una profonda revisione sia della metodologia di individuazione dei costi da inserire all’interno del Piano finanziario sia dei soggetti coinvolti nel processo di costruzione del medesimo atto necessario per l’elaborazione delle tariffe e per il loro adeguamento annuo.  </w:t>
      </w:r>
    </w:p>
    <w:p w:rsidR="00E00F2C" w:rsidRPr="00F92BA9" w:rsidRDefault="00E00F2C" w:rsidP="006A5114"/>
    <w:p w:rsidR="00ED5175" w:rsidRPr="00F92BA9" w:rsidRDefault="00ED5175" w:rsidP="006A5114">
      <w:r w:rsidRPr="00F92BA9">
        <w:t xml:space="preserve">Con riferimento a quest’ultimo aspetto, l’art. 6 della Delibera stabilisce che i soggetti gestori del servizio integrato di gestione dei rifiuti urbani predispongono annualmente il Piano finanziario per le attività di propria competenza e lo trasmettono all’Ente Territorialmente Competente ai fini della validazione, ossia la verifica circa la completezza e la congruità della documentazione inviata dai soggetti gestori, e della trasmissione all’Autorità, la quale, verificata la coerenza degli atti trasmessi procede all’approvazione. </w:t>
      </w:r>
    </w:p>
    <w:p w:rsidR="00E00F2C" w:rsidRPr="00F92BA9" w:rsidRDefault="00E00F2C" w:rsidP="006A5114"/>
    <w:p w:rsidR="00ED5175" w:rsidRPr="00F92BA9" w:rsidRDefault="00ED5175" w:rsidP="006A5114">
      <w:r w:rsidRPr="00F92BA9">
        <w:t xml:space="preserve">I soggetti gestori delle attività incluse nel perimetro gestionale, comprendente le attività di raccolta e trasporto, spazzamento e lavaggio, trattamento e smaltimento, trattamento e recupero, gestione della tariffa e del rapporto con gli utenti, in aggiunta alla relazione </w:t>
      </w:r>
      <w:r w:rsidR="0089398A">
        <w:t>di accompagnamento al PEF</w:t>
      </w:r>
      <w:r w:rsidR="005660B5">
        <w:t xml:space="preserve"> (secondo lo schema fornito all’Appendice 2)</w:t>
      </w:r>
      <w:r w:rsidRPr="00F92BA9">
        <w:t xml:space="preserve">, sono altresì tenuti ad inviare una descrizione che comprenda i contenuti minimi del PEF elencati all’art. 18 comma 2 dell’Allegato, una tabella che riporti i costi sostenuti per il servizio erogato (secondo lo schema fornito all’Appendice 1) ed una dichiarazione di veridicità (secondo lo schema dell’Appendice 3) sottoscritta dal legale rappresentante. </w:t>
      </w:r>
    </w:p>
    <w:p w:rsidR="00F7346D" w:rsidRPr="00F92BA9" w:rsidRDefault="00F7346D" w:rsidP="006A5114"/>
    <w:p w:rsidR="00F7346D" w:rsidRPr="00F92BA9" w:rsidRDefault="00F7346D" w:rsidP="006A5114">
      <w:pPr>
        <w:pStyle w:val="Titolo1"/>
        <w:rPr>
          <w:rFonts w:cs="Times New Roman"/>
        </w:rPr>
      </w:pPr>
      <w:bookmarkStart w:id="1" w:name="_Toc75194836"/>
      <w:r w:rsidRPr="00F92BA9">
        <w:rPr>
          <w:rFonts w:cs="Times New Roman"/>
        </w:rPr>
        <w:t>Relazione di accompagnamento al/i PEF predisposta dal gestore</w:t>
      </w:r>
      <w:bookmarkEnd w:id="1"/>
    </w:p>
    <w:p w:rsidR="00932205" w:rsidRPr="00EE6E47" w:rsidRDefault="00F7346D" w:rsidP="006A5114">
      <w:pPr>
        <w:pStyle w:val="Titolo2"/>
        <w:rPr>
          <w:rFonts w:cs="Times New Roman"/>
        </w:rPr>
      </w:pPr>
      <w:bookmarkStart w:id="2" w:name="_Toc75194837"/>
      <w:r w:rsidRPr="00F92BA9">
        <w:rPr>
          <w:rFonts w:cs="Times New Roman"/>
        </w:rPr>
        <w:t>Perimetro della gestione/affidamento e servizi forniti</w:t>
      </w:r>
      <w:bookmarkEnd w:id="2"/>
    </w:p>
    <w:p w:rsidR="001718F4" w:rsidRPr="00F92BA9" w:rsidRDefault="001718F4" w:rsidP="006A5114">
      <w:r w:rsidRPr="00F92BA9">
        <w:t xml:space="preserve">L’articolo 1 dell’Allegato A alla Delibera 443/2019 definisce il servizio integrato di gestione come il “complesso delle attività volte ad ottimizzare la gestione dei rifiuti urbani, (indipendentemente dalla classificazione che assumono durante il loro percorso) vale a dire: l’attività di raccolta e trasporto; l’attività di trattamento e smaltimento dei RU; l’attività di trattamento e recupero; l'attività di spazzamento e lavaggio strade, nonché l’attività di gestione tariffe e rapporto con gli utenti” e le attività esterne al ciclo integrato dei RU come le “attività che, anche qualora siano state incluse nella concessione di affidamento del servizio di gestione integrata del ciclo dei rifiuti, ai sensi della normativa vigente, non possono essere incluse nel perimetro sottoposto a regolazione dell’Autorità; a titolo esemplificativo ma non esaustivo, comprendono in particolare:  raccolta, trasporto e smaltimento amianto da utenze domestiche; derattizzazione; disinfestazione zanzare; spazzamento e sgombero della neve; cancellazione scritte vandaliche; defissione di manifesti abusivi; gestione dei servizi igienici pubblici; gestione del verde pubblico; manutenzione delle fontane”. </w:t>
      </w:r>
    </w:p>
    <w:p w:rsidR="000105A2" w:rsidRPr="00F92BA9" w:rsidRDefault="000105A2" w:rsidP="006A5114"/>
    <w:p w:rsidR="001718F4" w:rsidRDefault="001718F4" w:rsidP="006A5114">
      <w:r w:rsidRPr="00F92BA9">
        <w:lastRenderedPageBreak/>
        <w:t xml:space="preserve">I costi sostenuti per le attività esterne al perimetro gestionale possono essere ammessi a copertura tariffaria nell’anno </w:t>
      </w:r>
      <w:r w:rsidR="000E5F1E">
        <w:t>2021</w:t>
      </w:r>
      <w:r w:rsidRPr="00F92BA9">
        <w:t xml:space="preserve"> solo laddove fossero presenti anche all’interno dei Piani Finanziari precedenti, come riportato nella premessa della Delibera 443. In tal caso è opportuno dare separata evidenza degli oneri riconducibili a tali attività all’interno degli avvisi di pagamento (Del. 443, art. 5, comma 3). </w:t>
      </w:r>
    </w:p>
    <w:p w:rsidR="003C1048" w:rsidRDefault="003C1048" w:rsidP="006A5114"/>
    <w:p w:rsidR="00F628B5" w:rsidRPr="00034516" w:rsidRDefault="00E8757D" w:rsidP="003C1048">
      <w:r>
        <w:t>SAN PIETRO IN GUARANO è un comune italiano di 3.484</w:t>
      </w:r>
      <w:r w:rsidR="00393206" w:rsidRPr="0053629F">
        <w:t xml:space="preserve"> ab</w:t>
      </w:r>
      <w:r w:rsidR="00CE700C">
        <w:t xml:space="preserve">itanti </w:t>
      </w:r>
      <w:r w:rsidR="00FB7D61">
        <w:t xml:space="preserve">(dato ISTAT al 01/01/2021) </w:t>
      </w:r>
      <w:r w:rsidR="00CE700C">
        <w:t>della provincia di</w:t>
      </w:r>
      <w:r>
        <w:t xml:space="preserve"> Cosenza in Calabria</w:t>
      </w:r>
      <w:r w:rsidR="00CE700C">
        <w:t>.</w:t>
      </w:r>
    </w:p>
    <w:tbl>
      <w:tblPr>
        <w:tblStyle w:val="Grigliatabella"/>
        <w:tblW w:w="0" w:type="auto"/>
        <w:tblLook w:val="04A0"/>
      </w:tblPr>
      <w:tblGrid>
        <w:gridCol w:w="1925"/>
        <w:gridCol w:w="1925"/>
        <w:gridCol w:w="1926"/>
        <w:gridCol w:w="1926"/>
        <w:gridCol w:w="1926"/>
      </w:tblGrid>
      <w:tr w:rsidR="003C1048" w:rsidRPr="00D350F7" w:rsidTr="009B2FF3">
        <w:tc>
          <w:tcPr>
            <w:tcW w:w="1925" w:type="dxa"/>
            <w:shd w:val="clear" w:color="auto" w:fill="A8D08D" w:themeFill="accent6" w:themeFillTint="99"/>
            <w:vAlign w:val="center"/>
          </w:tcPr>
          <w:p w:rsidR="003C1048" w:rsidRPr="00D350F7" w:rsidRDefault="003C1048" w:rsidP="00582C6C">
            <w:pPr>
              <w:jc w:val="center"/>
              <w:rPr>
                <w:b/>
                <w:sz w:val="18"/>
                <w:szCs w:val="18"/>
              </w:rPr>
            </w:pPr>
            <w:r w:rsidRPr="00D350F7">
              <w:rPr>
                <w:b/>
                <w:sz w:val="18"/>
                <w:szCs w:val="18"/>
              </w:rPr>
              <w:t>Estensione</w:t>
            </w:r>
          </w:p>
        </w:tc>
        <w:tc>
          <w:tcPr>
            <w:tcW w:w="1925" w:type="dxa"/>
            <w:shd w:val="clear" w:color="auto" w:fill="A8D08D" w:themeFill="accent6" w:themeFillTint="99"/>
            <w:vAlign w:val="center"/>
          </w:tcPr>
          <w:p w:rsidR="003C1048" w:rsidRPr="00D350F7" w:rsidRDefault="003C1048" w:rsidP="00582C6C">
            <w:pPr>
              <w:jc w:val="center"/>
              <w:rPr>
                <w:b/>
                <w:sz w:val="18"/>
                <w:szCs w:val="18"/>
              </w:rPr>
            </w:pPr>
            <w:r w:rsidRPr="00D350F7">
              <w:rPr>
                <w:b/>
                <w:sz w:val="18"/>
                <w:szCs w:val="18"/>
              </w:rPr>
              <w:t>Popolazione residente</w:t>
            </w:r>
          </w:p>
        </w:tc>
        <w:tc>
          <w:tcPr>
            <w:tcW w:w="1926" w:type="dxa"/>
            <w:shd w:val="clear" w:color="auto" w:fill="A8D08D" w:themeFill="accent6" w:themeFillTint="99"/>
            <w:vAlign w:val="center"/>
          </w:tcPr>
          <w:p w:rsidR="003C1048" w:rsidRPr="00D350F7" w:rsidRDefault="003C1048" w:rsidP="00582C6C">
            <w:pPr>
              <w:jc w:val="center"/>
              <w:rPr>
                <w:b/>
                <w:sz w:val="18"/>
                <w:szCs w:val="18"/>
              </w:rPr>
            </w:pPr>
            <w:r w:rsidRPr="00D350F7">
              <w:rPr>
                <w:b/>
                <w:sz w:val="18"/>
                <w:szCs w:val="18"/>
              </w:rPr>
              <w:t>Densità per Kmq</w:t>
            </w:r>
          </w:p>
        </w:tc>
        <w:tc>
          <w:tcPr>
            <w:tcW w:w="1926" w:type="dxa"/>
            <w:shd w:val="clear" w:color="auto" w:fill="A8D08D" w:themeFill="accent6" w:themeFillTint="99"/>
            <w:vAlign w:val="center"/>
          </w:tcPr>
          <w:p w:rsidR="003C1048" w:rsidRPr="00D350F7" w:rsidRDefault="003C1048" w:rsidP="00582C6C">
            <w:pPr>
              <w:jc w:val="center"/>
              <w:rPr>
                <w:b/>
                <w:sz w:val="18"/>
                <w:szCs w:val="18"/>
              </w:rPr>
            </w:pPr>
            <w:r w:rsidRPr="00D350F7">
              <w:rPr>
                <w:b/>
                <w:sz w:val="18"/>
                <w:szCs w:val="18"/>
              </w:rPr>
              <w:t>Utenze Domestiche</w:t>
            </w:r>
          </w:p>
        </w:tc>
        <w:tc>
          <w:tcPr>
            <w:tcW w:w="1926" w:type="dxa"/>
            <w:shd w:val="clear" w:color="auto" w:fill="A8D08D" w:themeFill="accent6" w:themeFillTint="99"/>
            <w:vAlign w:val="center"/>
          </w:tcPr>
          <w:p w:rsidR="003C1048" w:rsidRPr="00D350F7" w:rsidRDefault="003C1048" w:rsidP="00582C6C">
            <w:pPr>
              <w:jc w:val="center"/>
              <w:rPr>
                <w:b/>
                <w:sz w:val="18"/>
                <w:szCs w:val="18"/>
              </w:rPr>
            </w:pPr>
            <w:r w:rsidRPr="00D350F7">
              <w:rPr>
                <w:b/>
                <w:sz w:val="18"/>
                <w:szCs w:val="18"/>
              </w:rPr>
              <w:t>Utenze non domestiche</w:t>
            </w:r>
          </w:p>
        </w:tc>
      </w:tr>
      <w:tr w:rsidR="003C1048" w:rsidRPr="00FB2D8B" w:rsidTr="00582C6C">
        <w:tc>
          <w:tcPr>
            <w:tcW w:w="1925" w:type="dxa"/>
          </w:tcPr>
          <w:p w:rsidR="003C1048" w:rsidRPr="00D350F7" w:rsidRDefault="00E8757D" w:rsidP="00582C6C">
            <w:pPr>
              <w:jc w:val="center"/>
              <w:rPr>
                <w:sz w:val="18"/>
                <w:szCs w:val="18"/>
              </w:rPr>
            </w:pPr>
            <w:r w:rsidRPr="00D350F7">
              <w:rPr>
                <w:sz w:val="18"/>
                <w:szCs w:val="18"/>
              </w:rPr>
              <w:t>48,34</w:t>
            </w:r>
            <w:r w:rsidR="003C1048" w:rsidRPr="00D350F7">
              <w:rPr>
                <w:sz w:val="18"/>
                <w:szCs w:val="18"/>
              </w:rPr>
              <w:t>Kmq</w:t>
            </w:r>
          </w:p>
        </w:tc>
        <w:tc>
          <w:tcPr>
            <w:tcW w:w="1925" w:type="dxa"/>
          </w:tcPr>
          <w:p w:rsidR="003C1048" w:rsidRPr="00D350F7" w:rsidRDefault="00E8757D" w:rsidP="00582C6C">
            <w:pPr>
              <w:jc w:val="center"/>
              <w:rPr>
                <w:sz w:val="18"/>
                <w:szCs w:val="18"/>
              </w:rPr>
            </w:pPr>
            <w:r w:rsidRPr="00D350F7">
              <w:rPr>
                <w:sz w:val="18"/>
                <w:szCs w:val="18"/>
              </w:rPr>
              <w:t>3.484</w:t>
            </w:r>
          </w:p>
        </w:tc>
        <w:tc>
          <w:tcPr>
            <w:tcW w:w="1926" w:type="dxa"/>
          </w:tcPr>
          <w:p w:rsidR="003C1048" w:rsidRPr="00D350F7" w:rsidRDefault="00E8757D" w:rsidP="00582C6C">
            <w:pPr>
              <w:jc w:val="center"/>
              <w:rPr>
                <w:sz w:val="18"/>
                <w:szCs w:val="18"/>
              </w:rPr>
            </w:pPr>
            <w:r w:rsidRPr="00D350F7">
              <w:rPr>
                <w:sz w:val="18"/>
                <w:szCs w:val="18"/>
              </w:rPr>
              <w:t>72,07</w:t>
            </w:r>
            <w:r w:rsidR="00FB7D61" w:rsidRPr="00D350F7">
              <w:rPr>
                <w:sz w:val="18"/>
                <w:szCs w:val="18"/>
              </w:rPr>
              <w:t xml:space="preserve"> ab./Kmq</w:t>
            </w:r>
          </w:p>
        </w:tc>
        <w:tc>
          <w:tcPr>
            <w:tcW w:w="1926" w:type="dxa"/>
          </w:tcPr>
          <w:p w:rsidR="003C1048" w:rsidRPr="00D350F7" w:rsidRDefault="003C1048" w:rsidP="00582C6C">
            <w:pPr>
              <w:jc w:val="center"/>
              <w:rPr>
                <w:sz w:val="18"/>
                <w:szCs w:val="18"/>
              </w:rPr>
            </w:pPr>
          </w:p>
        </w:tc>
        <w:tc>
          <w:tcPr>
            <w:tcW w:w="1926" w:type="dxa"/>
          </w:tcPr>
          <w:p w:rsidR="003C1048" w:rsidRPr="00D350F7" w:rsidRDefault="003C1048" w:rsidP="00582C6C">
            <w:pPr>
              <w:jc w:val="center"/>
              <w:rPr>
                <w:sz w:val="18"/>
                <w:szCs w:val="18"/>
              </w:rPr>
            </w:pPr>
          </w:p>
        </w:tc>
      </w:tr>
    </w:tbl>
    <w:p w:rsidR="006A67DB" w:rsidRDefault="006A67DB" w:rsidP="006A67DB">
      <w:pPr>
        <w:autoSpaceDE w:val="0"/>
        <w:autoSpaceDN w:val="0"/>
        <w:adjustRightInd w:val="0"/>
        <w:rPr>
          <w:rFonts w:cstheme="minorHAnsi"/>
        </w:rPr>
      </w:pPr>
    </w:p>
    <w:p w:rsidR="00582C6C" w:rsidRDefault="006A67DB" w:rsidP="006A67DB">
      <w:pPr>
        <w:autoSpaceDE w:val="0"/>
        <w:autoSpaceDN w:val="0"/>
        <w:adjustRightInd w:val="0"/>
        <w:rPr>
          <w:rFonts w:cstheme="minorHAnsi"/>
        </w:rPr>
      </w:pPr>
      <w:r w:rsidRPr="00127532">
        <w:rPr>
          <w:rFonts w:cstheme="minorHAnsi"/>
        </w:rPr>
        <w:t>Il perimetro gestionale</w:t>
      </w:r>
      <w:r>
        <w:rPr>
          <w:rFonts w:cstheme="minorHAnsi"/>
        </w:rPr>
        <w:t>,</w:t>
      </w:r>
      <w:r w:rsidRPr="00127532">
        <w:rPr>
          <w:rFonts w:cstheme="minorHAnsi"/>
        </w:rPr>
        <w:t xml:space="preserve"> assoggettato al</w:t>
      </w:r>
      <w:r>
        <w:rPr>
          <w:rFonts w:cstheme="minorHAnsi"/>
        </w:rPr>
        <w:t>la deliberazione ARERA n. 443/2019</w:t>
      </w:r>
      <w:r w:rsidRPr="00127532">
        <w:rPr>
          <w:rFonts w:cstheme="minorHAnsi"/>
        </w:rPr>
        <w:t>, comprende</w:t>
      </w:r>
      <w:r>
        <w:rPr>
          <w:rFonts w:cstheme="minorHAnsi"/>
        </w:rPr>
        <w:t xml:space="preserve"> le seguenti attività: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91"/>
        <w:gridCol w:w="4887"/>
      </w:tblGrid>
      <w:tr w:rsidR="006A67DB" w:rsidRPr="001E0002" w:rsidTr="009B2FF3">
        <w:trPr>
          <w:trHeight w:val="360"/>
        </w:trPr>
        <w:tc>
          <w:tcPr>
            <w:tcW w:w="2501" w:type="pct"/>
            <w:shd w:val="clear" w:color="auto" w:fill="A8D08D" w:themeFill="accent6" w:themeFillTint="99"/>
            <w:noWrap/>
            <w:vAlign w:val="center"/>
            <w:hideMark/>
          </w:tcPr>
          <w:p w:rsidR="006A67DB" w:rsidRPr="001E0002" w:rsidRDefault="006A67DB" w:rsidP="00F127BA">
            <w:pPr>
              <w:rPr>
                <w:b/>
                <w:bCs/>
                <w:color w:val="000000"/>
                <w:sz w:val="18"/>
                <w:szCs w:val="18"/>
              </w:rPr>
            </w:pPr>
            <w:r w:rsidRPr="001E0002">
              <w:rPr>
                <w:b/>
                <w:bCs/>
                <w:color w:val="000000"/>
                <w:sz w:val="18"/>
                <w:szCs w:val="18"/>
              </w:rPr>
              <w:t> Attività</w:t>
            </w:r>
          </w:p>
        </w:tc>
        <w:tc>
          <w:tcPr>
            <w:tcW w:w="2499" w:type="pct"/>
            <w:shd w:val="clear" w:color="auto" w:fill="A8D08D" w:themeFill="accent6" w:themeFillTint="99"/>
            <w:noWrap/>
            <w:vAlign w:val="center"/>
            <w:hideMark/>
          </w:tcPr>
          <w:p w:rsidR="006A67DB" w:rsidRPr="001E0002" w:rsidRDefault="006A67DB" w:rsidP="00F127BA">
            <w:pPr>
              <w:rPr>
                <w:b/>
                <w:bCs/>
                <w:color w:val="000000"/>
                <w:sz w:val="18"/>
                <w:szCs w:val="18"/>
              </w:rPr>
            </w:pPr>
            <w:r w:rsidRPr="001E0002">
              <w:rPr>
                <w:b/>
                <w:bCs/>
                <w:color w:val="000000"/>
                <w:sz w:val="18"/>
                <w:szCs w:val="18"/>
              </w:rPr>
              <w:t>Gestore/Comune</w:t>
            </w:r>
          </w:p>
        </w:tc>
      </w:tr>
      <w:tr w:rsidR="00E8757D" w:rsidRPr="001E0002" w:rsidTr="00A660E0">
        <w:trPr>
          <w:trHeight w:val="360"/>
        </w:trPr>
        <w:tc>
          <w:tcPr>
            <w:tcW w:w="2501" w:type="pct"/>
            <w:shd w:val="clear" w:color="auto" w:fill="auto"/>
            <w:noWrap/>
            <w:vAlign w:val="center"/>
          </w:tcPr>
          <w:p w:rsidR="00E8757D" w:rsidRPr="001E0002" w:rsidRDefault="00E8757D" w:rsidP="001E0002">
            <w:pPr>
              <w:rPr>
                <w:color w:val="000000"/>
                <w:sz w:val="18"/>
                <w:szCs w:val="18"/>
              </w:rPr>
            </w:pPr>
            <w:r w:rsidRPr="001E0002">
              <w:rPr>
                <w:color w:val="000000"/>
                <w:sz w:val="18"/>
                <w:szCs w:val="18"/>
              </w:rPr>
              <w:t>- attività di raccolta e trasporto;</w:t>
            </w:r>
          </w:p>
        </w:tc>
        <w:tc>
          <w:tcPr>
            <w:tcW w:w="2499" w:type="pct"/>
            <w:shd w:val="clear" w:color="auto" w:fill="auto"/>
            <w:noWrap/>
            <w:vAlign w:val="center"/>
          </w:tcPr>
          <w:p w:rsidR="00E8757D" w:rsidRPr="001B37EF" w:rsidRDefault="00E8757D" w:rsidP="00B14BA6">
            <w:pPr>
              <w:rPr>
                <w:color w:val="000000"/>
                <w:sz w:val="18"/>
                <w:szCs w:val="18"/>
              </w:rPr>
            </w:pPr>
            <w:r w:rsidRPr="001B37EF">
              <w:rPr>
                <w:color w:val="000000"/>
                <w:sz w:val="18"/>
                <w:szCs w:val="18"/>
              </w:rPr>
              <w:t>PRESILA COSENTINA S.p.A.</w:t>
            </w:r>
          </w:p>
        </w:tc>
      </w:tr>
      <w:tr w:rsidR="00E8757D" w:rsidRPr="001E0002" w:rsidTr="00A660E0">
        <w:trPr>
          <w:trHeight w:val="300"/>
        </w:trPr>
        <w:tc>
          <w:tcPr>
            <w:tcW w:w="2501" w:type="pct"/>
            <w:shd w:val="clear" w:color="auto" w:fill="auto"/>
            <w:noWrap/>
            <w:vAlign w:val="center"/>
            <w:hideMark/>
          </w:tcPr>
          <w:p w:rsidR="00E8757D" w:rsidRPr="001E0002" w:rsidRDefault="00E8757D" w:rsidP="001E0002">
            <w:pPr>
              <w:rPr>
                <w:color w:val="000000"/>
                <w:sz w:val="18"/>
                <w:szCs w:val="18"/>
              </w:rPr>
            </w:pPr>
            <w:r w:rsidRPr="001E0002">
              <w:rPr>
                <w:color w:val="000000"/>
                <w:sz w:val="18"/>
                <w:szCs w:val="18"/>
              </w:rPr>
              <w:t>- attività di trattamento e smaltimento dei RU; </w:t>
            </w:r>
          </w:p>
        </w:tc>
        <w:tc>
          <w:tcPr>
            <w:tcW w:w="2499" w:type="pct"/>
            <w:shd w:val="clear" w:color="auto" w:fill="auto"/>
            <w:noWrap/>
            <w:vAlign w:val="center"/>
            <w:hideMark/>
          </w:tcPr>
          <w:p w:rsidR="00E8757D" w:rsidRPr="001B37EF" w:rsidRDefault="00E8757D" w:rsidP="00B14BA6">
            <w:pPr>
              <w:rPr>
                <w:color w:val="000000"/>
                <w:sz w:val="18"/>
                <w:szCs w:val="18"/>
              </w:rPr>
            </w:pPr>
            <w:r w:rsidRPr="001B37EF">
              <w:rPr>
                <w:color w:val="000000"/>
                <w:sz w:val="18"/>
                <w:szCs w:val="18"/>
              </w:rPr>
              <w:t>Calabra Maceri e Servizi S.p.A.</w:t>
            </w:r>
          </w:p>
        </w:tc>
      </w:tr>
      <w:tr w:rsidR="00E8757D" w:rsidRPr="001E0002" w:rsidTr="00A660E0">
        <w:trPr>
          <w:trHeight w:val="300"/>
        </w:trPr>
        <w:tc>
          <w:tcPr>
            <w:tcW w:w="2501" w:type="pct"/>
            <w:shd w:val="clear" w:color="auto" w:fill="auto"/>
            <w:noWrap/>
            <w:vAlign w:val="center"/>
            <w:hideMark/>
          </w:tcPr>
          <w:p w:rsidR="00E8757D" w:rsidRPr="001E0002" w:rsidRDefault="00E8757D" w:rsidP="001E0002">
            <w:pPr>
              <w:rPr>
                <w:color w:val="000000"/>
                <w:sz w:val="18"/>
                <w:szCs w:val="18"/>
              </w:rPr>
            </w:pPr>
            <w:r w:rsidRPr="009E4D7B">
              <w:rPr>
                <w:color w:val="000000"/>
                <w:sz w:val="20"/>
                <w:szCs w:val="20"/>
              </w:rPr>
              <w:t>- attività di trattamento e recupero; </w:t>
            </w:r>
          </w:p>
        </w:tc>
        <w:tc>
          <w:tcPr>
            <w:tcW w:w="2499" w:type="pct"/>
            <w:shd w:val="clear" w:color="auto" w:fill="auto"/>
            <w:noWrap/>
            <w:vAlign w:val="center"/>
            <w:hideMark/>
          </w:tcPr>
          <w:p w:rsidR="00E8757D" w:rsidRPr="001B37EF" w:rsidRDefault="00E8757D" w:rsidP="00B14BA6">
            <w:pPr>
              <w:rPr>
                <w:caps/>
                <w:color w:val="000000"/>
                <w:sz w:val="18"/>
                <w:szCs w:val="18"/>
              </w:rPr>
            </w:pPr>
            <w:r w:rsidRPr="001B37EF">
              <w:rPr>
                <w:color w:val="000000"/>
                <w:sz w:val="18"/>
                <w:szCs w:val="18"/>
              </w:rPr>
              <w:t>Calabra Maceri e Servizi S.p.A.</w:t>
            </w:r>
          </w:p>
        </w:tc>
      </w:tr>
      <w:tr w:rsidR="00E8757D" w:rsidRPr="001E0002" w:rsidTr="00642525">
        <w:trPr>
          <w:trHeight w:val="300"/>
        </w:trPr>
        <w:tc>
          <w:tcPr>
            <w:tcW w:w="2501" w:type="pct"/>
            <w:shd w:val="clear" w:color="auto" w:fill="auto"/>
            <w:noWrap/>
            <w:vAlign w:val="center"/>
            <w:hideMark/>
          </w:tcPr>
          <w:p w:rsidR="00E8757D" w:rsidRPr="001E0002" w:rsidRDefault="00E8757D" w:rsidP="00771135">
            <w:pPr>
              <w:rPr>
                <w:color w:val="000000"/>
                <w:sz w:val="18"/>
                <w:szCs w:val="18"/>
              </w:rPr>
            </w:pPr>
            <w:r w:rsidRPr="001E0002">
              <w:rPr>
                <w:color w:val="000000"/>
                <w:sz w:val="18"/>
                <w:szCs w:val="18"/>
              </w:rPr>
              <w:t>- attività di spazzamento e lavaggio strade;</w:t>
            </w:r>
          </w:p>
        </w:tc>
        <w:tc>
          <w:tcPr>
            <w:tcW w:w="2499" w:type="pct"/>
            <w:shd w:val="clear" w:color="auto" w:fill="auto"/>
            <w:noWrap/>
            <w:vAlign w:val="center"/>
            <w:hideMark/>
          </w:tcPr>
          <w:p w:rsidR="00E8757D" w:rsidRPr="001B37EF" w:rsidRDefault="00E8757D" w:rsidP="00B14BA6">
            <w:pPr>
              <w:rPr>
                <w:color w:val="000000"/>
                <w:sz w:val="18"/>
                <w:szCs w:val="18"/>
              </w:rPr>
            </w:pPr>
            <w:r w:rsidRPr="001B37EF">
              <w:rPr>
                <w:sz w:val="16"/>
                <w:szCs w:val="16"/>
              </w:rPr>
              <w:t>Soc. EFFEGIEFFE di Broccolo G. S.a.s.</w:t>
            </w:r>
            <w:r>
              <w:rPr>
                <w:sz w:val="16"/>
                <w:szCs w:val="16"/>
              </w:rPr>
              <w:t xml:space="preserve"> – Prestatore d’Opera</w:t>
            </w:r>
          </w:p>
        </w:tc>
      </w:tr>
      <w:tr w:rsidR="00E8757D" w:rsidRPr="001E0002" w:rsidTr="00642525">
        <w:trPr>
          <w:trHeight w:val="300"/>
        </w:trPr>
        <w:tc>
          <w:tcPr>
            <w:tcW w:w="2501" w:type="pct"/>
            <w:shd w:val="clear" w:color="auto" w:fill="auto"/>
            <w:noWrap/>
            <w:vAlign w:val="center"/>
            <w:hideMark/>
          </w:tcPr>
          <w:p w:rsidR="00E8757D" w:rsidRPr="001E0002" w:rsidRDefault="00E8757D" w:rsidP="001E0002">
            <w:pPr>
              <w:rPr>
                <w:color w:val="000000"/>
                <w:sz w:val="18"/>
                <w:szCs w:val="18"/>
              </w:rPr>
            </w:pPr>
            <w:r w:rsidRPr="001E0002">
              <w:rPr>
                <w:color w:val="000000"/>
                <w:sz w:val="18"/>
                <w:szCs w:val="18"/>
              </w:rPr>
              <w:t>- attività di gestione tariffe e rapporto con gli utenti.</w:t>
            </w:r>
          </w:p>
        </w:tc>
        <w:tc>
          <w:tcPr>
            <w:tcW w:w="2499" w:type="pct"/>
            <w:shd w:val="clear" w:color="auto" w:fill="auto"/>
            <w:noWrap/>
            <w:vAlign w:val="center"/>
            <w:hideMark/>
          </w:tcPr>
          <w:p w:rsidR="00E8757D" w:rsidRPr="001B37EF" w:rsidRDefault="00E8757D" w:rsidP="00B14BA6">
            <w:pPr>
              <w:rPr>
                <w:color w:val="000000"/>
                <w:sz w:val="18"/>
                <w:szCs w:val="18"/>
              </w:rPr>
            </w:pPr>
            <w:r w:rsidRPr="001B37EF">
              <w:rPr>
                <w:color w:val="000000"/>
                <w:sz w:val="18"/>
                <w:szCs w:val="18"/>
              </w:rPr>
              <w:t>Comune di SAN PIETRO IN GUARANO</w:t>
            </w:r>
          </w:p>
        </w:tc>
      </w:tr>
    </w:tbl>
    <w:p w:rsidR="006A67DB" w:rsidRDefault="006A67DB" w:rsidP="006A5114"/>
    <w:p w:rsidR="00766876" w:rsidRPr="009B2E1F" w:rsidRDefault="00766876" w:rsidP="00766876">
      <w:pPr>
        <w:pStyle w:val="Titolo3"/>
      </w:pPr>
      <w:bookmarkStart w:id="3" w:name="_Toc65697101"/>
      <w:bookmarkStart w:id="4" w:name="_Toc65859865"/>
      <w:bookmarkStart w:id="5" w:name="_Toc66736964"/>
      <w:bookmarkStart w:id="6" w:name="_Toc75192588"/>
      <w:bookmarkStart w:id="7" w:name="_Toc75194838"/>
      <w:r w:rsidRPr="009B2E1F">
        <w:t>Gestore del servizio integrato di gestione dei rifiuti urbani</w:t>
      </w:r>
      <w:bookmarkEnd w:id="3"/>
      <w:bookmarkEnd w:id="4"/>
      <w:bookmarkEnd w:id="5"/>
      <w:bookmarkEnd w:id="6"/>
      <w:bookmarkEnd w:id="7"/>
    </w:p>
    <w:p w:rsidR="0024384E" w:rsidRDefault="0024384E" w:rsidP="0024384E">
      <w:r w:rsidRPr="00944BBC">
        <w:t xml:space="preserve">Il Comune di </w:t>
      </w:r>
      <w:r>
        <w:t xml:space="preserve">SAN PIETRO IN GUARANO </w:t>
      </w:r>
      <w:r w:rsidRPr="00944BBC">
        <w:t xml:space="preserve">ha richiesto al gestore la presentazione della documentazione necessaria alla predisposizione del PEF MTR 2021 </w:t>
      </w:r>
      <w:r w:rsidRPr="00074CF8">
        <w:t xml:space="preserve">in data </w:t>
      </w:r>
      <w:r w:rsidR="00074CF8" w:rsidRPr="00074CF8">
        <w:t>02/03/</w:t>
      </w:r>
      <w:r w:rsidRPr="00074CF8">
        <w:t xml:space="preserve">2021 (si veda comunicazione Prot. </w:t>
      </w:r>
      <w:r w:rsidR="00074CF8" w:rsidRPr="00074CF8">
        <w:t xml:space="preserve">1311 </w:t>
      </w:r>
      <w:r w:rsidRPr="00074CF8">
        <w:t xml:space="preserve">del </w:t>
      </w:r>
      <w:r w:rsidR="00074CF8" w:rsidRPr="00074CF8">
        <w:t>02/03</w:t>
      </w:r>
      <w:r w:rsidRPr="00074CF8">
        <w:t>/2021).</w:t>
      </w:r>
    </w:p>
    <w:p w:rsidR="00074CF8" w:rsidRDefault="00074CF8" w:rsidP="0024384E"/>
    <w:p w:rsidR="009B12AA" w:rsidRPr="005F5C71" w:rsidRDefault="009B12AA" w:rsidP="009B12AA">
      <w:r w:rsidRPr="005F5C71">
        <w:t xml:space="preserve">Alla comunicazione di redazione del PEF 2021 il gestore ha fatto seguire la comunicazione Prot. 42/2021 in cui evidenzia di essere un soggetto non tenuto alla predisposizione del PEF MTR Arera. </w:t>
      </w:r>
    </w:p>
    <w:p w:rsidR="009B12AA" w:rsidRPr="005F5C71" w:rsidRDefault="009B12AA" w:rsidP="0024384E"/>
    <w:p w:rsidR="00074CF8" w:rsidRPr="005F5C71" w:rsidRDefault="00074CF8" w:rsidP="00074CF8">
      <w:pPr>
        <w:rPr>
          <w:rFonts w:cstheme="minorHAnsi"/>
        </w:rPr>
      </w:pPr>
      <w:r w:rsidRPr="005F5C71">
        <w:rPr>
          <w:rFonts w:cstheme="minorHAnsi"/>
        </w:rPr>
        <w:t xml:space="preserve">Vista la mancata collaborazione del gestore alle numerose richieste di invio delle informazioni necessarie alla predisposizione del PEF 2021, il Comune di SAN PIETRO IN GUARANO in data </w:t>
      </w:r>
      <w:r w:rsidR="00910067" w:rsidRPr="005F5C71">
        <w:rPr>
          <w:rFonts w:cstheme="minorHAnsi"/>
        </w:rPr>
        <w:t>09/06/2021</w:t>
      </w:r>
      <w:r w:rsidRPr="005F5C71">
        <w:rPr>
          <w:rFonts w:cstheme="minorHAnsi"/>
        </w:rPr>
        <w:t xml:space="preserve"> (si veda comunicazione prot. N. </w:t>
      </w:r>
      <w:r w:rsidR="00BC68DA" w:rsidRPr="005F5C71">
        <w:rPr>
          <w:rFonts w:cstheme="minorHAnsi"/>
        </w:rPr>
        <w:t>579</w:t>
      </w:r>
      <w:r w:rsidRPr="005F5C71">
        <w:rPr>
          <w:rFonts w:cstheme="minorHAnsi"/>
        </w:rPr>
        <w:t xml:space="preserve"> del </w:t>
      </w:r>
      <w:r w:rsidR="00BC68DA" w:rsidRPr="005F5C71">
        <w:rPr>
          <w:rFonts w:cstheme="minorHAnsi"/>
        </w:rPr>
        <w:t>09/06/2021</w:t>
      </w:r>
      <w:r w:rsidRPr="005F5C71">
        <w:rPr>
          <w:rFonts w:cstheme="minorHAnsi"/>
        </w:rPr>
        <w:t>) ha comunicato ad ARERA l’inerzia della società Presila Cosentina S.p.A.</w:t>
      </w:r>
    </w:p>
    <w:p w:rsidR="00074CF8" w:rsidRPr="005F5C71" w:rsidRDefault="00074CF8" w:rsidP="00074CF8"/>
    <w:p w:rsidR="00FD60C0" w:rsidRPr="005F5C71" w:rsidRDefault="00074CF8" w:rsidP="00074CF8">
      <w:r w:rsidRPr="005F5C71">
        <w:t>Il Comune di SAN PIETRO IN GUARANO in seguito alla comunicazione di inerzia, come disciplinato dalla delibera ARERA n. 57/2020:</w:t>
      </w:r>
    </w:p>
    <w:p w:rsidR="00074CF8" w:rsidRPr="005F5C71" w:rsidRDefault="00074CF8" w:rsidP="00074CF8">
      <w:pPr>
        <w:rPr>
          <w:sz w:val="23"/>
          <w:szCs w:val="23"/>
        </w:rPr>
      </w:pPr>
      <w:r w:rsidRPr="005F5C71">
        <w:t>“</w:t>
      </w:r>
      <w:r w:rsidRPr="005F5C71">
        <w:rPr>
          <w:i/>
          <w:iCs/>
          <w:sz w:val="23"/>
          <w:szCs w:val="23"/>
        </w:rPr>
        <w:t>In caso di inerzia del gestore, l’Ente territorialmente competente provvede alla predisposizione del piano economico finanziario sulla base degli elementi conoscitivi a disposizione, ivi compresi i valori dei fabbisogni standard o il dato del costo medio di settore come risultante dall’ultimo Rapporto dell’ISPRA, e in un’ottica di tutela degli utenti. Sono comunque esclusi incrementi dei corrispettivi e adeguamenti degli stessi all’inflazione.</w:t>
      </w:r>
      <w:r w:rsidRPr="005F5C71">
        <w:rPr>
          <w:sz w:val="23"/>
          <w:szCs w:val="23"/>
        </w:rPr>
        <w:t>”.</w:t>
      </w:r>
    </w:p>
    <w:p w:rsidR="004026B8" w:rsidRPr="005F5C71" w:rsidRDefault="004026B8" w:rsidP="004026B8"/>
    <w:p w:rsidR="005F5C71" w:rsidRDefault="00D93BD7" w:rsidP="004026B8">
      <w:pPr>
        <w:rPr>
          <w:sz w:val="23"/>
          <w:szCs w:val="23"/>
        </w:rPr>
      </w:pPr>
      <w:r w:rsidRPr="005F5C71">
        <w:rPr>
          <w:sz w:val="23"/>
          <w:szCs w:val="23"/>
        </w:rPr>
        <w:t>Il PEF è stato, pertanto, redatto tenendo conto dei costi sostenuti dal Comune nel 20</w:t>
      </w:r>
      <w:r w:rsidR="00CF6CC0">
        <w:rPr>
          <w:sz w:val="23"/>
          <w:szCs w:val="23"/>
        </w:rPr>
        <w:t xml:space="preserve">20 </w:t>
      </w:r>
      <w:r w:rsidRPr="005F5C71">
        <w:rPr>
          <w:sz w:val="23"/>
          <w:szCs w:val="23"/>
        </w:rPr>
        <w:t>senza eccedere i limiti imposti dalla suindicata normativa e pertanto, a tutela degli utenti non è stato superato il valore del totale delle entrate tariffarie dell’anno 20</w:t>
      </w:r>
      <w:r w:rsidR="00CF6CC0">
        <w:rPr>
          <w:sz w:val="23"/>
          <w:szCs w:val="23"/>
        </w:rPr>
        <w:t>20</w:t>
      </w:r>
      <w:r w:rsidRPr="005F5C71">
        <w:rPr>
          <w:sz w:val="23"/>
          <w:szCs w:val="23"/>
        </w:rPr>
        <w:t>.</w:t>
      </w:r>
    </w:p>
    <w:p w:rsidR="00EB6632" w:rsidRDefault="00EB6632">
      <w:pPr>
        <w:jc w:val="left"/>
        <w:rPr>
          <w:sz w:val="23"/>
          <w:szCs w:val="23"/>
        </w:rPr>
      </w:pPr>
      <w:r>
        <w:rPr>
          <w:sz w:val="23"/>
          <w:szCs w:val="23"/>
        </w:rPr>
        <w:br w:type="page"/>
      </w:r>
    </w:p>
    <w:p w:rsidR="00EB6632" w:rsidRPr="00D65614" w:rsidRDefault="00EB6632" w:rsidP="00EB6632">
      <w:pPr>
        <w:pStyle w:val="Titolo3"/>
      </w:pPr>
      <w:bookmarkStart w:id="8" w:name="_Toc70582240"/>
      <w:bookmarkStart w:id="9" w:name="_Toc75192589"/>
      <w:bookmarkStart w:id="10" w:name="_Toc75194839"/>
      <w:r w:rsidRPr="00D65614">
        <w:lastRenderedPageBreak/>
        <w:t>Attività di gestione delle tariffe e del rapporto con gli utenti.</w:t>
      </w:r>
      <w:bookmarkEnd w:id="8"/>
      <w:bookmarkEnd w:id="9"/>
      <w:bookmarkEnd w:id="10"/>
    </w:p>
    <w:p w:rsidR="00EB6632" w:rsidRDefault="00EB6632" w:rsidP="00EB6632">
      <w:pPr>
        <w:autoSpaceDE w:val="0"/>
        <w:autoSpaceDN w:val="0"/>
        <w:adjustRightInd w:val="0"/>
        <w:rPr>
          <w:rFonts w:cstheme="minorHAnsi"/>
        </w:rPr>
      </w:pPr>
      <w:r>
        <w:rPr>
          <w:rFonts w:cstheme="minorHAnsi"/>
        </w:rPr>
        <w:t>Per quanto attiene le</w:t>
      </w:r>
      <w:r w:rsidRPr="006935BA">
        <w:rPr>
          <w:rFonts w:cstheme="minorHAnsi"/>
        </w:rPr>
        <w:t> attività di gestione tariffe e rapporto con gli utenti</w:t>
      </w:r>
      <w:r>
        <w:rPr>
          <w:rFonts w:cstheme="minorHAnsi"/>
        </w:rPr>
        <w:t xml:space="preserve"> sono e</w:t>
      </w:r>
      <w:r w:rsidRPr="006935BA">
        <w:rPr>
          <w:rFonts w:cstheme="minorHAnsi"/>
        </w:rPr>
        <w:t>ffettuat</w:t>
      </w:r>
      <w:r>
        <w:rPr>
          <w:rFonts w:cstheme="minorHAnsi"/>
        </w:rPr>
        <w:t>e</w:t>
      </w:r>
      <w:r w:rsidRPr="006935BA">
        <w:rPr>
          <w:rFonts w:cstheme="minorHAnsi"/>
        </w:rPr>
        <w:t xml:space="preserve"> direttamente dal </w:t>
      </w:r>
      <w:r>
        <w:rPr>
          <w:rFonts w:cstheme="minorHAnsi"/>
        </w:rPr>
        <w:t xml:space="preserve">Comune di SAN PIETRO IN GUARANO </w:t>
      </w:r>
      <w:r w:rsidRPr="006935BA">
        <w:rPr>
          <w:rFonts w:cstheme="minorHAnsi"/>
        </w:rPr>
        <w:t>con personale dipendente</w:t>
      </w:r>
      <w:r>
        <w:rPr>
          <w:rFonts w:cstheme="minorHAnsi"/>
        </w:rPr>
        <w:t xml:space="preserve"> dell’Ente</w:t>
      </w:r>
      <w:r w:rsidRPr="006935BA">
        <w:rPr>
          <w:rFonts w:cstheme="minorHAnsi"/>
        </w:rPr>
        <w:t xml:space="preserve">. </w:t>
      </w:r>
    </w:p>
    <w:p w:rsidR="00EB6632" w:rsidRDefault="00EB6632" w:rsidP="00EB6632">
      <w:pPr>
        <w:autoSpaceDE w:val="0"/>
        <w:autoSpaceDN w:val="0"/>
        <w:adjustRightInd w:val="0"/>
        <w:rPr>
          <w:highlight w:val="yellow"/>
        </w:rPr>
      </w:pPr>
    </w:p>
    <w:p w:rsidR="00EB6632" w:rsidRPr="0082541C" w:rsidRDefault="00EB6632" w:rsidP="00EB6632">
      <w:pPr>
        <w:autoSpaceDE w:val="0"/>
        <w:autoSpaceDN w:val="0"/>
        <w:adjustRightInd w:val="0"/>
      </w:pPr>
      <w:r w:rsidRPr="0082541C">
        <w:t>In relazione alle attività di gestione tariffe e rapporti con gli utenti della Tassa Rifiuti (in seguito TARI) sono in capo all’Ente le attività organizzative e gestionali della TARI:</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definizione ed approvazione delle tariffe;</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gestione della banca dati delle utenze oggetto di tassazione e dei soggetti passivi;</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registrazione dei soggetti passivi (denunce di iscrizione, variazione e cessazione);</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sgravi e rimborsi;</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sportelli informativi con riferimento alla determinazione della tassa;</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gestione dei reclami inerenti alla determinazione della tassa;</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gestione del contenzioso e dei relativi istituti deflativi (autotutela, mediazione, conciliazione) inerenti alla determinazione della tassa;</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predisposizione ed invio degli avvisi di pagamento (riscossione volontaria);</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gestione della banca dati dei pagamenti;</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controllo dei pagamenti, gestione dei solleciti;</w:t>
      </w:r>
    </w:p>
    <w:p w:rsidR="00EB6632" w:rsidRPr="0082541C" w:rsidRDefault="00EB6632" w:rsidP="00EB6632">
      <w:pPr>
        <w:pStyle w:val="Paragrafoelenco"/>
        <w:numPr>
          <w:ilvl w:val="0"/>
          <w:numId w:val="7"/>
        </w:numPr>
        <w:autoSpaceDE w:val="0"/>
        <w:autoSpaceDN w:val="0"/>
        <w:adjustRightInd w:val="0"/>
        <w:spacing w:after="0"/>
        <w:ind w:left="714" w:hanging="357"/>
        <w:contextualSpacing w:val="0"/>
        <w:jc w:val="both"/>
        <w:rPr>
          <w:sz w:val="24"/>
          <w:szCs w:val="24"/>
        </w:rPr>
      </w:pPr>
      <w:r w:rsidRPr="0082541C">
        <w:rPr>
          <w:sz w:val="24"/>
          <w:szCs w:val="24"/>
        </w:rPr>
        <w:t>rendicontazione contabile degli incassi.</w:t>
      </w:r>
    </w:p>
    <w:p w:rsidR="005F5C71" w:rsidRDefault="005F5C71">
      <w:pPr>
        <w:jc w:val="left"/>
        <w:rPr>
          <w:sz w:val="23"/>
          <w:szCs w:val="23"/>
        </w:rPr>
      </w:pPr>
    </w:p>
    <w:p w:rsidR="00F7346D" w:rsidRDefault="00F7346D" w:rsidP="00F7346D">
      <w:pPr>
        <w:pStyle w:val="Titolo1"/>
        <w:rPr>
          <w:rFonts w:cs="Times New Roman"/>
        </w:rPr>
      </w:pPr>
      <w:bookmarkStart w:id="11" w:name="_Toc75194840"/>
      <w:r w:rsidRPr="00F92BA9">
        <w:rPr>
          <w:rFonts w:cs="Times New Roman"/>
        </w:rPr>
        <w:t>Dati relativi alla gestione dell’ambito o bacino di affidamento forniti dal gestore</w:t>
      </w:r>
      <w:bookmarkEnd w:id="11"/>
    </w:p>
    <w:p w:rsidR="00E052CD" w:rsidRPr="00C22007" w:rsidRDefault="00E052CD" w:rsidP="00E052CD">
      <w:r w:rsidRPr="00C22007">
        <w:t xml:space="preserve">Nei paragrafi successivi verranno illustrate eventuali variazioni di costo, con relative motivazioni, che il Comune di </w:t>
      </w:r>
      <w:r w:rsidR="00BA13C3">
        <w:t>SAN PIETRO IN GUARANO</w:t>
      </w:r>
      <w:r w:rsidRPr="00C22007">
        <w:t xml:space="preserve"> sosterrà nell’anno 202</w:t>
      </w:r>
      <w:r>
        <w:t>1</w:t>
      </w:r>
      <w:r w:rsidRPr="00C22007">
        <w:t xml:space="preserve"> rispetto all’anno 201</w:t>
      </w:r>
      <w:r>
        <w:t>9</w:t>
      </w:r>
      <w:r w:rsidRPr="00C22007">
        <w:t xml:space="preserve"> connesse alle modifiche del perimetro gestionale e alle variazioni nella qualità del servizio erogato. </w:t>
      </w:r>
    </w:p>
    <w:p w:rsidR="00E052CD" w:rsidRPr="00C22007" w:rsidRDefault="00E052CD" w:rsidP="00E052CD">
      <w:r w:rsidRPr="00C22007">
        <w:t>L’indicazione delle variazioni connesse al perimetro gestionale e alla qualità del servizio permetteranno all’Ente Territorialmente Competente una corretta rivalutazione dei coefficienti PG e QL (art. 4, comma 4 del MTR). Inoltre, al paragrafo 3.1.2 sono riportati i dati relativi alla raccolta differenziata.</w:t>
      </w:r>
    </w:p>
    <w:p w:rsidR="00E052CD" w:rsidRPr="00E052CD" w:rsidRDefault="00E052CD" w:rsidP="00E052CD"/>
    <w:p w:rsidR="00AB4B30" w:rsidRDefault="00CB5974" w:rsidP="00582C6C">
      <w:pPr>
        <w:pStyle w:val="Titolo2"/>
        <w:tabs>
          <w:tab w:val="clear" w:pos="1144"/>
        </w:tabs>
        <w:ind w:left="567"/>
      </w:pPr>
      <w:bookmarkStart w:id="12" w:name="_Toc75194841"/>
      <w:r w:rsidRPr="00CB5974">
        <w:t xml:space="preserve">Dati </w:t>
      </w:r>
      <w:r>
        <w:t>tecnici patrimoniali</w:t>
      </w:r>
      <w:bookmarkEnd w:id="12"/>
    </w:p>
    <w:p w:rsidR="004C43F6" w:rsidRDefault="004C43F6" w:rsidP="004C43F6">
      <w:pPr>
        <w:pStyle w:val="Titolo3"/>
      </w:pPr>
      <w:bookmarkStart w:id="13" w:name="_Toc75194842"/>
      <w:r w:rsidRPr="00CB5974">
        <w:t xml:space="preserve">Dati </w:t>
      </w:r>
      <w:r>
        <w:t>sul territorio gestito e sull’affidamento</w:t>
      </w:r>
      <w:bookmarkEnd w:id="13"/>
    </w:p>
    <w:p w:rsidR="00BA13C3" w:rsidRPr="005A2CB2" w:rsidRDefault="00BA13C3" w:rsidP="00BA13C3">
      <w:pPr>
        <w:pStyle w:val="Titolo4"/>
      </w:pPr>
      <w:bookmarkStart w:id="14" w:name="_Toc75192594"/>
      <w:bookmarkStart w:id="15" w:name="_Toc75194843"/>
      <w:r w:rsidRPr="005A2CB2">
        <w:t>Gestore del servizio integrato di gestione dei rifiuti urbani</w:t>
      </w:r>
      <w:bookmarkEnd w:id="14"/>
      <w:bookmarkEnd w:id="15"/>
    </w:p>
    <w:p w:rsidR="00BA13C3" w:rsidRPr="00BA13C3" w:rsidRDefault="00BA13C3" w:rsidP="00BA13C3">
      <w:pPr>
        <w:rPr>
          <w:b/>
          <w:bCs/>
        </w:rPr>
      </w:pPr>
      <w:r w:rsidRPr="00BA13C3">
        <w:rPr>
          <w:b/>
          <w:bCs/>
        </w:rPr>
        <w:t>Per quanto attiene la descrizione del servizio integrato di gestione dei RU, nonché la determinazione economica dei costi, si fa presente che il gestore non ha provveduto a fornire la documentazione necessaria alla definitiva stesura del PEF 2021.</w:t>
      </w:r>
    </w:p>
    <w:p w:rsidR="00BA13C3" w:rsidRPr="0082541C" w:rsidRDefault="00BA13C3" w:rsidP="00BA13C3"/>
    <w:p w:rsidR="00061812" w:rsidRPr="00C22007" w:rsidRDefault="00061812" w:rsidP="00061812">
      <w:r w:rsidRPr="00C22007">
        <w:t>La variazione di costo connessa alle modifiche del perimetro gestionale riguarda nello specifico l’introduzione di nuovi servizi nell’anno 202</w:t>
      </w:r>
      <w:r>
        <w:t>1</w:t>
      </w:r>
      <w:r w:rsidRPr="00C22007">
        <w:t xml:space="preserve"> rispetto a quelli erogati nell’anno 201</w:t>
      </w:r>
      <w:r>
        <w:t>9</w:t>
      </w:r>
      <w:r w:rsidRPr="00C22007">
        <w:t>.</w:t>
      </w:r>
    </w:p>
    <w:p w:rsidR="00061812" w:rsidRPr="00C22007" w:rsidRDefault="00061812" w:rsidP="00061812">
      <w:r w:rsidRPr="00C22007">
        <w:t>La voce COI è una componente di costo di natura previsionale utile all’aggiornamento dei dati di partenza (201</w:t>
      </w:r>
      <w:r>
        <w:t>9</w:t>
      </w:r>
      <w:r w:rsidRPr="00C22007">
        <w:t>), costituiti da quelli individuati in base a fonti contabili obbligatorie, al fine di ottenere i costi efficienti adeguati all’esercizio finanziario considerato (202</w:t>
      </w:r>
      <w:r>
        <w:t>1</w:t>
      </w:r>
      <w:r w:rsidRPr="00C22007">
        <w:t>).</w:t>
      </w:r>
    </w:p>
    <w:p w:rsidR="00061812" w:rsidRPr="00C22007" w:rsidRDefault="00061812" w:rsidP="00061812">
      <w:r w:rsidRPr="00C22007">
        <w:t xml:space="preserve">L’introduzione delle componenti COI (ripartite in fissa e variabile) come stabilita da ARERA, è vincolata all’individuazione di obiettivi di miglioramento della qualità e delle caratteristiche delle prestazioni erogate o alla previsione di modifiche al perimetro gestionale. </w:t>
      </w:r>
    </w:p>
    <w:p w:rsidR="00061812" w:rsidRPr="00C22007" w:rsidRDefault="00061812" w:rsidP="00061812">
      <w:r w:rsidRPr="00C22007">
        <w:t>Le variazioni di perimetro (PG) “sono costituite dalla variazione delle attività effettuate dal gestore/Comune, come, ad esempio, il passaggio dalla raccolta stradale alla raccolta porta a porta o i processi di aggregazione delle gestioni” (ARERA, all. A alla Deliberazione 443/2019/R/rif).</w:t>
      </w:r>
    </w:p>
    <w:p w:rsidR="00061812" w:rsidRPr="00C22007" w:rsidRDefault="00061812" w:rsidP="00061812">
      <w:r w:rsidRPr="00C22007">
        <w:t>Si può dunque ritenere che, pur in assenza di espressi obiettivi di miglioramento, possano essere inseriti nel Piano Finanziario 202</w:t>
      </w:r>
      <w:r>
        <w:t>1</w:t>
      </w:r>
      <w:r w:rsidRPr="00C22007">
        <w:t xml:space="preserve"> del Gestore/Comune i costi previsionali per l’anno 202</w:t>
      </w:r>
      <w:r>
        <w:t>1</w:t>
      </w:r>
      <w:r w:rsidRPr="00C22007">
        <w:t xml:space="preserve"> che </w:t>
      </w:r>
      <w:r w:rsidRPr="00C22007">
        <w:lastRenderedPageBreak/>
        <w:t xml:space="preserve">siano in linea con le variazioni derivanti da fattori connessi con riferimento ad aspetti tecnici e/o operativi. </w:t>
      </w:r>
    </w:p>
    <w:p w:rsidR="00061812" w:rsidRPr="00C22007" w:rsidRDefault="00061812" w:rsidP="00061812"/>
    <w:p w:rsidR="00061812" w:rsidRPr="00C22007" w:rsidRDefault="00061812" w:rsidP="00061812">
      <w:r w:rsidRPr="00C22007">
        <w:t>Il MTR prevede che l’inserimento di tali costi “può avvenire nel caso in cui si verifichino congiuntamente le seguenti condizioni:</w:t>
      </w:r>
    </w:p>
    <w:p w:rsidR="00061812" w:rsidRPr="00C22007" w:rsidRDefault="00061812" w:rsidP="00061812">
      <w:r w:rsidRPr="00C22007">
        <w:t>• sia possibile identificare puntualmente la corrispondenza tra il target di miglioramento da conseguire e le citate componenti;</w:t>
      </w:r>
    </w:p>
    <w:p w:rsidR="00061812" w:rsidRPr="00C22007" w:rsidRDefault="00061812" w:rsidP="00061812">
      <w:r w:rsidRPr="00C22007">
        <w:t>• la valorizzazione delle medesime possa essere effettuata sulla base di dati oggettivi, verificabili e ispirati all’efficienza dei costi, tenuto conto dei potenziali effetti di scala” (articolo 8.2 dell’Allegato sopra citato).</w:t>
      </w:r>
    </w:p>
    <w:p w:rsidR="00061812" w:rsidRPr="00D53395" w:rsidRDefault="00061812" w:rsidP="00973FDD">
      <w:pPr>
        <w:rPr>
          <w:b/>
        </w:rPr>
      </w:pPr>
    </w:p>
    <w:p w:rsidR="00973FDD" w:rsidRPr="00D53395" w:rsidRDefault="00973FDD" w:rsidP="00973FDD">
      <w:pPr>
        <w:rPr>
          <w:b/>
        </w:rPr>
      </w:pPr>
      <w:r w:rsidRPr="00D53395">
        <w:rPr>
          <w:b/>
        </w:rPr>
        <w:t xml:space="preserve">Il Comune di </w:t>
      </w:r>
      <w:r w:rsidR="00E8757D">
        <w:rPr>
          <w:b/>
        </w:rPr>
        <w:t>SAN PIETRO IN GUARANO</w:t>
      </w:r>
      <w:r w:rsidRPr="00D53395">
        <w:rPr>
          <w:b/>
        </w:rPr>
        <w:t xml:space="preserve"> non prevede alcuna variazione di costo connessa alle modifiche del perimetro gestionale.</w:t>
      </w:r>
    </w:p>
    <w:p w:rsidR="00973FDD" w:rsidRPr="00771C88" w:rsidRDefault="00973FDD" w:rsidP="009D2FE5">
      <w:pPr>
        <w:autoSpaceDE w:val="0"/>
        <w:autoSpaceDN w:val="0"/>
        <w:adjustRightInd w:val="0"/>
        <w:rPr>
          <w:highlight w:val="yellow"/>
        </w:rPr>
      </w:pPr>
    </w:p>
    <w:p w:rsidR="00020647" w:rsidRPr="00773DFA" w:rsidRDefault="00020647" w:rsidP="00020647">
      <w:pPr>
        <w:pStyle w:val="Titolo3"/>
      </w:pPr>
      <w:bookmarkStart w:id="16" w:name="_Toc62042163"/>
      <w:bookmarkStart w:id="17" w:name="_Toc62470125"/>
      <w:bookmarkStart w:id="18" w:name="_Toc75194844"/>
      <w:r w:rsidRPr="00773DFA">
        <w:t>Dati tecnici e di qualità</w:t>
      </w:r>
      <w:bookmarkStart w:id="19" w:name="_Hlk22049505"/>
      <w:bookmarkEnd w:id="16"/>
      <w:bookmarkEnd w:id="17"/>
      <w:bookmarkEnd w:id="18"/>
    </w:p>
    <w:bookmarkEnd w:id="19"/>
    <w:p w:rsidR="00020647" w:rsidRPr="00C22007" w:rsidRDefault="00020647" w:rsidP="00020647">
      <w:r w:rsidRPr="00C22007">
        <w:t>La variazione di costo connessa alle modifiche nella qualità del servizio fornito riguarda nello specifico il miglioramento delle prestazioni erogate nell’anno 202</w:t>
      </w:r>
      <w:r w:rsidR="00771C88">
        <w:t>1</w:t>
      </w:r>
      <w:r w:rsidRPr="00C22007">
        <w:t xml:space="preserve"> rispetto all’anno 201</w:t>
      </w:r>
      <w:r w:rsidR="00771C88">
        <w:t>9</w:t>
      </w:r>
      <w:r w:rsidRPr="00C22007">
        <w:t xml:space="preserve">. </w:t>
      </w:r>
    </w:p>
    <w:p w:rsidR="00020647" w:rsidRPr="00C22007" w:rsidRDefault="00020647" w:rsidP="00020647">
      <w:r w:rsidRPr="00C22007">
        <w:t xml:space="preserve">Il Comune di </w:t>
      </w:r>
      <w:r w:rsidR="00E8757D">
        <w:t>SAN PIETRO IN GUARANO</w:t>
      </w:r>
      <w:r w:rsidRPr="00C22007">
        <w:t>non prevede alcuna variazione di costo connessa con il miglioramento dei servizi forniti.</w:t>
      </w:r>
    </w:p>
    <w:p w:rsidR="00925B6E" w:rsidRDefault="00925B6E">
      <w:pPr>
        <w:jc w:val="left"/>
        <w:rPr>
          <w:rFonts w:ascii="Arial" w:eastAsia="Times" w:hAnsi="Arial"/>
          <w:sz w:val="20"/>
          <w:szCs w:val="20"/>
          <w:highlight w:val="yellow"/>
          <w:lang w:eastAsia="en-US"/>
        </w:rPr>
      </w:pPr>
    </w:p>
    <w:p w:rsidR="00020647" w:rsidRDefault="00020647" w:rsidP="00020647">
      <w:pPr>
        <w:pStyle w:val="Titolo4"/>
      </w:pPr>
      <w:bookmarkStart w:id="20" w:name="_Toc62042164"/>
      <w:bookmarkStart w:id="21" w:name="_Toc62470126"/>
      <w:bookmarkStart w:id="22" w:name="_Toc75194845"/>
      <w:r>
        <w:t>Obiettivo Raccolta Differenziata</w:t>
      </w:r>
      <w:bookmarkEnd w:id="20"/>
      <w:bookmarkEnd w:id="21"/>
      <w:bookmarkEnd w:id="22"/>
    </w:p>
    <w:p w:rsidR="00CA5982" w:rsidRDefault="00020647" w:rsidP="00020647">
      <w:r w:rsidRPr="00C22007">
        <w:t xml:space="preserve">La tabella che segue riporta gli obiettivi di raccolta differenziata ed i risultati effettivamente raggiunti nel Comune di </w:t>
      </w:r>
      <w:r w:rsidR="00E8757D">
        <w:t>SAN PIETRO IN GUARANO</w:t>
      </w:r>
      <w:r>
        <w:t xml:space="preserve">dal </w:t>
      </w:r>
      <w:r w:rsidRPr="00C22007">
        <w:t>201</w:t>
      </w:r>
      <w:r w:rsidR="002B6352">
        <w:t>8</w:t>
      </w:r>
      <w:r>
        <w:t>al</w:t>
      </w:r>
      <w:r w:rsidR="002B6352">
        <w:t xml:space="preserve"> 2021</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16"/>
        <w:gridCol w:w="1616"/>
        <w:gridCol w:w="1615"/>
        <w:gridCol w:w="1527"/>
        <w:gridCol w:w="1703"/>
        <w:gridCol w:w="1701"/>
      </w:tblGrid>
      <w:tr w:rsidR="007425B2" w:rsidRPr="008664D3" w:rsidTr="007425B2">
        <w:trPr>
          <w:trHeight w:val="20"/>
        </w:trPr>
        <w:tc>
          <w:tcPr>
            <w:tcW w:w="1652" w:type="pct"/>
            <w:gridSpan w:val="2"/>
            <w:shd w:val="clear" w:color="auto" w:fill="auto"/>
            <w:noWrap/>
            <w:vAlign w:val="bottom"/>
            <w:hideMark/>
          </w:tcPr>
          <w:p w:rsidR="007425B2" w:rsidRPr="008664D3" w:rsidRDefault="007425B2" w:rsidP="00582C6C">
            <w:pPr>
              <w:jc w:val="center"/>
              <w:rPr>
                <w:b/>
                <w:bCs/>
                <w:color w:val="000000"/>
                <w:sz w:val="20"/>
                <w:szCs w:val="20"/>
              </w:rPr>
            </w:pPr>
            <w:r w:rsidRPr="008664D3">
              <w:rPr>
                <w:b/>
                <w:bCs/>
                <w:color w:val="000000"/>
                <w:sz w:val="20"/>
                <w:szCs w:val="20"/>
              </w:rPr>
              <w:t>2018</w:t>
            </w:r>
          </w:p>
        </w:tc>
        <w:tc>
          <w:tcPr>
            <w:tcW w:w="1607" w:type="pct"/>
            <w:gridSpan w:val="2"/>
            <w:shd w:val="clear" w:color="auto" w:fill="auto"/>
            <w:noWrap/>
            <w:vAlign w:val="bottom"/>
            <w:hideMark/>
          </w:tcPr>
          <w:p w:rsidR="007425B2" w:rsidRPr="008664D3" w:rsidRDefault="007425B2" w:rsidP="00582C6C">
            <w:pPr>
              <w:jc w:val="center"/>
              <w:rPr>
                <w:b/>
                <w:bCs/>
                <w:color w:val="000000"/>
                <w:sz w:val="20"/>
                <w:szCs w:val="20"/>
              </w:rPr>
            </w:pPr>
            <w:r w:rsidRPr="008664D3">
              <w:rPr>
                <w:b/>
                <w:bCs/>
                <w:color w:val="000000"/>
                <w:sz w:val="20"/>
                <w:szCs w:val="20"/>
              </w:rPr>
              <w:t>2019</w:t>
            </w:r>
          </w:p>
        </w:tc>
        <w:tc>
          <w:tcPr>
            <w:tcW w:w="871" w:type="pct"/>
            <w:shd w:val="clear" w:color="auto" w:fill="auto"/>
            <w:noWrap/>
            <w:vAlign w:val="bottom"/>
            <w:hideMark/>
          </w:tcPr>
          <w:p w:rsidR="007425B2" w:rsidRPr="008664D3" w:rsidRDefault="007425B2" w:rsidP="00582C6C">
            <w:pPr>
              <w:jc w:val="center"/>
              <w:rPr>
                <w:b/>
                <w:bCs/>
                <w:color w:val="000000"/>
                <w:sz w:val="20"/>
                <w:szCs w:val="20"/>
              </w:rPr>
            </w:pPr>
            <w:r w:rsidRPr="008664D3">
              <w:rPr>
                <w:b/>
                <w:bCs/>
                <w:color w:val="000000"/>
                <w:sz w:val="20"/>
                <w:szCs w:val="20"/>
              </w:rPr>
              <w:t>2020</w:t>
            </w:r>
          </w:p>
        </w:tc>
        <w:tc>
          <w:tcPr>
            <w:tcW w:w="870" w:type="pct"/>
          </w:tcPr>
          <w:p w:rsidR="007425B2" w:rsidRPr="008664D3" w:rsidRDefault="007425B2" w:rsidP="00582C6C">
            <w:pPr>
              <w:jc w:val="center"/>
              <w:rPr>
                <w:b/>
                <w:bCs/>
                <w:color w:val="000000"/>
                <w:sz w:val="20"/>
                <w:szCs w:val="20"/>
              </w:rPr>
            </w:pPr>
            <w:r w:rsidRPr="008664D3">
              <w:rPr>
                <w:b/>
                <w:bCs/>
                <w:color w:val="000000"/>
                <w:sz w:val="20"/>
                <w:szCs w:val="20"/>
              </w:rPr>
              <w:t>2021</w:t>
            </w:r>
          </w:p>
        </w:tc>
      </w:tr>
      <w:tr w:rsidR="007425B2" w:rsidRPr="008664D3" w:rsidTr="009B2FF3">
        <w:trPr>
          <w:trHeight w:val="20"/>
        </w:trPr>
        <w:tc>
          <w:tcPr>
            <w:tcW w:w="826" w:type="pct"/>
            <w:shd w:val="clear" w:color="auto" w:fill="A8D08D" w:themeFill="accent6" w:themeFillTint="99"/>
            <w:vAlign w:val="center"/>
            <w:hideMark/>
          </w:tcPr>
          <w:p w:rsidR="007425B2" w:rsidRPr="008664D3" w:rsidRDefault="007425B2" w:rsidP="00582C6C">
            <w:pPr>
              <w:jc w:val="center"/>
              <w:rPr>
                <w:i/>
                <w:iCs/>
                <w:sz w:val="20"/>
                <w:szCs w:val="20"/>
              </w:rPr>
            </w:pPr>
            <w:r w:rsidRPr="008664D3">
              <w:rPr>
                <w:i/>
                <w:iCs/>
                <w:sz w:val="20"/>
                <w:szCs w:val="20"/>
              </w:rPr>
              <w:t>Obiettivo fissato (%)</w:t>
            </w:r>
          </w:p>
        </w:tc>
        <w:tc>
          <w:tcPr>
            <w:tcW w:w="826" w:type="pct"/>
            <w:shd w:val="clear" w:color="auto" w:fill="A8D08D" w:themeFill="accent6" w:themeFillTint="99"/>
            <w:vAlign w:val="center"/>
            <w:hideMark/>
          </w:tcPr>
          <w:p w:rsidR="007425B2" w:rsidRPr="008664D3" w:rsidRDefault="007425B2" w:rsidP="00582C6C">
            <w:pPr>
              <w:jc w:val="center"/>
              <w:rPr>
                <w:i/>
                <w:iCs/>
                <w:sz w:val="20"/>
                <w:szCs w:val="20"/>
              </w:rPr>
            </w:pPr>
            <w:r w:rsidRPr="008664D3">
              <w:rPr>
                <w:i/>
                <w:iCs/>
                <w:sz w:val="20"/>
                <w:szCs w:val="20"/>
              </w:rPr>
              <w:t>Obiettivo raggiunto (%)</w:t>
            </w:r>
          </w:p>
        </w:tc>
        <w:tc>
          <w:tcPr>
            <w:tcW w:w="826" w:type="pct"/>
            <w:shd w:val="clear" w:color="auto" w:fill="A8D08D" w:themeFill="accent6" w:themeFillTint="99"/>
            <w:vAlign w:val="center"/>
            <w:hideMark/>
          </w:tcPr>
          <w:p w:rsidR="007425B2" w:rsidRPr="008664D3" w:rsidRDefault="007425B2" w:rsidP="00582C6C">
            <w:pPr>
              <w:jc w:val="center"/>
              <w:rPr>
                <w:i/>
                <w:iCs/>
                <w:sz w:val="20"/>
                <w:szCs w:val="20"/>
              </w:rPr>
            </w:pPr>
            <w:r w:rsidRPr="008664D3">
              <w:rPr>
                <w:i/>
                <w:iCs/>
                <w:sz w:val="20"/>
                <w:szCs w:val="20"/>
              </w:rPr>
              <w:t>Obiettivo fissato (%)</w:t>
            </w:r>
          </w:p>
        </w:tc>
        <w:tc>
          <w:tcPr>
            <w:tcW w:w="781" w:type="pct"/>
            <w:shd w:val="clear" w:color="auto" w:fill="A8D08D" w:themeFill="accent6" w:themeFillTint="99"/>
            <w:vAlign w:val="center"/>
            <w:hideMark/>
          </w:tcPr>
          <w:p w:rsidR="007425B2" w:rsidRPr="008664D3" w:rsidRDefault="007425B2" w:rsidP="00582C6C">
            <w:pPr>
              <w:jc w:val="center"/>
              <w:rPr>
                <w:i/>
                <w:iCs/>
                <w:sz w:val="20"/>
                <w:szCs w:val="20"/>
              </w:rPr>
            </w:pPr>
            <w:r w:rsidRPr="008664D3">
              <w:rPr>
                <w:i/>
                <w:iCs/>
                <w:sz w:val="20"/>
                <w:szCs w:val="20"/>
              </w:rPr>
              <w:t>Obiettivo raggiunto (%)</w:t>
            </w:r>
          </w:p>
        </w:tc>
        <w:tc>
          <w:tcPr>
            <w:tcW w:w="871" w:type="pct"/>
            <w:shd w:val="clear" w:color="auto" w:fill="A8D08D" w:themeFill="accent6" w:themeFillTint="99"/>
            <w:vAlign w:val="center"/>
            <w:hideMark/>
          </w:tcPr>
          <w:p w:rsidR="007425B2" w:rsidRPr="008664D3" w:rsidRDefault="007425B2" w:rsidP="00582C6C">
            <w:pPr>
              <w:jc w:val="center"/>
              <w:rPr>
                <w:i/>
                <w:iCs/>
                <w:sz w:val="20"/>
                <w:szCs w:val="20"/>
              </w:rPr>
            </w:pPr>
            <w:r w:rsidRPr="008664D3">
              <w:rPr>
                <w:i/>
                <w:iCs/>
                <w:sz w:val="20"/>
                <w:szCs w:val="20"/>
              </w:rPr>
              <w:t>Obiettivo fissato (%)</w:t>
            </w:r>
          </w:p>
        </w:tc>
        <w:tc>
          <w:tcPr>
            <w:tcW w:w="870" w:type="pct"/>
            <w:shd w:val="clear" w:color="auto" w:fill="A8D08D" w:themeFill="accent6" w:themeFillTint="99"/>
            <w:vAlign w:val="center"/>
          </w:tcPr>
          <w:p w:rsidR="007425B2" w:rsidRPr="008664D3" w:rsidRDefault="007425B2" w:rsidP="007425B2">
            <w:pPr>
              <w:jc w:val="center"/>
              <w:rPr>
                <w:i/>
                <w:iCs/>
                <w:sz w:val="20"/>
                <w:szCs w:val="20"/>
              </w:rPr>
            </w:pPr>
            <w:r w:rsidRPr="008664D3">
              <w:rPr>
                <w:i/>
                <w:iCs/>
                <w:sz w:val="20"/>
                <w:szCs w:val="20"/>
              </w:rPr>
              <w:t>Obiettivo fissato (%)</w:t>
            </w:r>
          </w:p>
        </w:tc>
      </w:tr>
      <w:tr w:rsidR="007425B2" w:rsidRPr="008664D3" w:rsidTr="009115E4">
        <w:trPr>
          <w:trHeight w:val="135"/>
        </w:trPr>
        <w:tc>
          <w:tcPr>
            <w:tcW w:w="826" w:type="pct"/>
            <w:shd w:val="clear" w:color="auto" w:fill="auto"/>
            <w:noWrap/>
          </w:tcPr>
          <w:p w:rsidR="007425B2" w:rsidRPr="0058726B" w:rsidRDefault="00C76195" w:rsidP="00582C6C">
            <w:pPr>
              <w:jc w:val="center"/>
              <w:rPr>
                <w:b/>
                <w:bCs/>
                <w:i/>
                <w:iCs/>
                <w:color w:val="000000" w:themeColor="text1"/>
                <w:sz w:val="20"/>
                <w:szCs w:val="20"/>
              </w:rPr>
            </w:pPr>
            <w:r w:rsidRPr="0058726B">
              <w:rPr>
                <w:b/>
                <w:bCs/>
                <w:i/>
                <w:iCs/>
                <w:color w:val="000000" w:themeColor="text1"/>
                <w:sz w:val="20"/>
                <w:szCs w:val="20"/>
              </w:rPr>
              <w:t>65</w:t>
            </w:r>
            <w:r w:rsidR="001C4A75" w:rsidRPr="0058726B">
              <w:rPr>
                <w:b/>
                <w:bCs/>
                <w:i/>
                <w:iCs/>
                <w:color w:val="000000" w:themeColor="text1"/>
                <w:sz w:val="20"/>
                <w:szCs w:val="20"/>
              </w:rPr>
              <w:t>%</w:t>
            </w:r>
          </w:p>
        </w:tc>
        <w:tc>
          <w:tcPr>
            <w:tcW w:w="826" w:type="pct"/>
            <w:shd w:val="clear" w:color="auto" w:fill="auto"/>
            <w:noWrap/>
          </w:tcPr>
          <w:p w:rsidR="007425B2" w:rsidRPr="0058726B" w:rsidRDefault="008A40F4" w:rsidP="00582C6C">
            <w:pPr>
              <w:jc w:val="center"/>
              <w:rPr>
                <w:b/>
                <w:bCs/>
                <w:i/>
                <w:iCs/>
                <w:color w:val="000000" w:themeColor="text1"/>
                <w:sz w:val="20"/>
                <w:szCs w:val="20"/>
              </w:rPr>
            </w:pPr>
            <w:r>
              <w:rPr>
                <w:b/>
                <w:bCs/>
                <w:i/>
                <w:iCs/>
                <w:color w:val="000000" w:themeColor="text1"/>
                <w:sz w:val="20"/>
                <w:szCs w:val="20"/>
              </w:rPr>
              <w:t>70,96</w:t>
            </w:r>
            <w:r w:rsidR="00553757" w:rsidRPr="0058726B">
              <w:rPr>
                <w:b/>
                <w:bCs/>
                <w:i/>
                <w:iCs/>
                <w:color w:val="000000" w:themeColor="text1"/>
                <w:sz w:val="20"/>
                <w:szCs w:val="20"/>
              </w:rPr>
              <w:t>%</w:t>
            </w:r>
          </w:p>
        </w:tc>
        <w:tc>
          <w:tcPr>
            <w:tcW w:w="826" w:type="pct"/>
            <w:shd w:val="clear" w:color="auto" w:fill="auto"/>
            <w:noWrap/>
          </w:tcPr>
          <w:p w:rsidR="007425B2" w:rsidRPr="0058726B" w:rsidRDefault="00C76195" w:rsidP="00582C6C">
            <w:pPr>
              <w:jc w:val="center"/>
              <w:rPr>
                <w:b/>
                <w:bCs/>
                <w:i/>
                <w:iCs/>
                <w:color w:val="000000" w:themeColor="text1"/>
                <w:sz w:val="20"/>
                <w:szCs w:val="20"/>
              </w:rPr>
            </w:pPr>
            <w:r w:rsidRPr="0058726B">
              <w:rPr>
                <w:b/>
                <w:bCs/>
                <w:i/>
                <w:iCs/>
                <w:color w:val="000000" w:themeColor="text1"/>
                <w:sz w:val="20"/>
                <w:szCs w:val="20"/>
              </w:rPr>
              <w:t>65</w:t>
            </w:r>
            <w:r w:rsidR="00553757" w:rsidRPr="0058726B">
              <w:rPr>
                <w:b/>
                <w:bCs/>
                <w:i/>
                <w:iCs/>
                <w:color w:val="000000" w:themeColor="text1"/>
                <w:sz w:val="20"/>
                <w:szCs w:val="20"/>
              </w:rPr>
              <w:t>%</w:t>
            </w:r>
          </w:p>
        </w:tc>
        <w:tc>
          <w:tcPr>
            <w:tcW w:w="781" w:type="pct"/>
            <w:shd w:val="clear" w:color="auto" w:fill="auto"/>
            <w:noWrap/>
          </w:tcPr>
          <w:p w:rsidR="007425B2" w:rsidRPr="0058726B" w:rsidRDefault="008A40F4" w:rsidP="00582C6C">
            <w:pPr>
              <w:jc w:val="center"/>
              <w:rPr>
                <w:b/>
                <w:bCs/>
                <w:i/>
                <w:iCs/>
                <w:color w:val="000000" w:themeColor="text1"/>
                <w:sz w:val="20"/>
                <w:szCs w:val="20"/>
              </w:rPr>
            </w:pPr>
            <w:r>
              <w:rPr>
                <w:b/>
                <w:bCs/>
                <w:i/>
                <w:iCs/>
                <w:color w:val="000000" w:themeColor="text1"/>
                <w:sz w:val="20"/>
                <w:szCs w:val="20"/>
              </w:rPr>
              <w:t>69,19</w:t>
            </w:r>
            <w:r w:rsidR="00553757" w:rsidRPr="0058726B">
              <w:rPr>
                <w:b/>
                <w:bCs/>
                <w:i/>
                <w:iCs/>
                <w:color w:val="000000" w:themeColor="text1"/>
                <w:sz w:val="20"/>
                <w:szCs w:val="20"/>
              </w:rPr>
              <w:t>%</w:t>
            </w:r>
          </w:p>
        </w:tc>
        <w:tc>
          <w:tcPr>
            <w:tcW w:w="871" w:type="pct"/>
            <w:shd w:val="clear" w:color="auto" w:fill="auto"/>
            <w:noWrap/>
          </w:tcPr>
          <w:p w:rsidR="007425B2" w:rsidRPr="0058726B" w:rsidRDefault="00C76195" w:rsidP="00582C6C">
            <w:pPr>
              <w:jc w:val="center"/>
              <w:rPr>
                <w:b/>
                <w:bCs/>
                <w:i/>
                <w:iCs/>
                <w:color w:val="000000" w:themeColor="text1"/>
                <w:sz w:val="20"/>
                <w:szCs w:val="20"/>
              </w:rPr>
            </w:pPr>
            <w:r w:rsidRPr="0058726B">
              <w:rPr>
                <w:b/>
                <w:bCs/>
                <w:i/>
                <w:iCs/>
                <w:color w:val="000000" w:themeColor="text1"/>
                <w:sz w:val="20"/>
                <w:szCs w:val="20"/>
              </w:rPr>
              <w:t>65</w:t>
            </w:r>
            <w:r w:rsidR="001C4A75" w:rsidRPr="0058726B">
              <w:rPr>
                <w:b/>
                <w:bCs/>
                <w:i/>
                <w:iCs/>
                <w:color w:val="000000" w:themeColor="text1"/>
                <w:sz w:val="20"/>
                <w:szCs w:val="20"/>
              </w:rPr>
              <w:t>%</w:t>
            </w:r>
          </w:p>
        </w:tc>
        <w:tc>
          <w:tcPr>
            <w:tcW w:w="870" w:type="pct"/>
          </w:tcPr>
          <w:p w:rsidR="007425B2" w:rsidRPr="0058726B" w:rsidRDefault="00C76195" w:rsidP="00582C6C">
            <w:pPr>
              <w:jc w:val="center"/>
              <w:rPr>
                <w:b/>
                <w:bCs/>
                <w:i/>
                <w:iCs/>
                <w:color w:val="000000" w:themeColor="text1"/>
                <w:sz w:val="20"/>
                <w:szCs w:val="20"/>
              </w:rPr>
            </w:pPr>
            <w:r w:rsidRPr="0058726B">
              <w:rPr>
                <w:b/>
                <w:bCs/>
                <w:i/>
                <w:iCs/>
                <w:color w:val="000000" w:themeColor="text1"/>
                <w:sz w:val="20"/>
                <w:szCs w:val="20"/>
              </w:rPr>
              <w:t>65</w:t>
            </w:r>
            <w:r w:rsidR="001C4A75" w:rsidRPr="0058726B">
              <w:rPr>
                <w:b/>
                <w:bCs/>
                <w:i/>
                <w:iCs/>
                <w:color w:val="000000" w:themeColor="text1"/>
                <w:sz w:val="20"/>
                <w:szCs w:val="20"/>
              </w:rPr>
              <w:t>%</w:t>
            </w:r>
          </w:p>
        </w:tc>
      </w:tr>
    </w:tbl>
    <w:p w:rsidR="0059153F" w:rsidRDefault="0059153F" w:rsidP="00020647">
      <w:pPr>
        <w:pStyle w:val="Corpodeltesto"/>
        <w:rPr>
          <w:rFonts w:ascii="Times New Roman" w:eastAsia="Times New Roman" w:hAnsi="Times New Roman"/>
          <w:sz w:val="24"/>
          <w:szCs w:val="24"/>
          <w:lang w:val="it-IT" w:eastAsia="it-IT"/>
        </w:rPr>
      </w:pPr>
    </w:p>
    <w:p w:rsidR="00925B6E" w:rsidRPr="00F408A9" w:rsidRDefault="00020647" w:rsidP="00020647">
      <w:pPr>
        <w:pStyle w:val="Corpodeltesto"/>
        <w:rPr>
          <w:rFonts w:ascii="Times New Roman" w:eastAsia="Times New Roman" w:hAnsi="Times New Roman"/>
          <w:sz w:val="24"/>
          <w:szCs w:val="24"/>
          <w:lang w:val="it-IT" w:eastAsia="it-IT"/>
        </w:rPr>
      </w:pPr>
      <w:r>
        <w:rPr>
          <w:rFonts w:ascii="Times New Roman" w:eastAsia="Times New Roman" w:hAnsi="Times New Roman"/>
          <w:sz w:val="24"/>
          <w:szCs w:val="24"/>
          <w:lang w:val="it-IT" w:eastAsia="it-IT"/>
        </w:rPr>
        <w:t xml:space="preserve">Tabella - </w:t>
      </w:r>
      <w:r w:rsidRPr="00DA69D5">
        <w:rPr>
          <w:rFonts w:ascii="Times New Roman" w:eastAsia="Times New Roman" w:hAnsi="Times New Roman"/>
          <w:sz w:val="24"/>
          <w:szCs w:val="24"/>
          <w:lang w:val="it-IT" w:eastAsia="it-IT"/>
        </w:rPr>
        <w:t>Produzione Rifiuti</w:t>
      </w:r>
      <w:r w:rsidR="00553757">
        <w:rPr>
          <w:rFonts w:ascii="Times New Roman" w:eastAsia="Times New Roman" w:hAnsi="Times New Roman"/>
          <w:sz w:val="24"/>
          <w:szCs w:val="24"/>
          <w:lang w:val="it-IT" w:eastAsia="it-IT"/>
        </w:rPr>
        <w:t xml:space="preserve"> - Fonte ISPRA</w:t>
      </w:r>
    </w:p>
    <w:tbl>
      <w:tblPr>
        <w:tblW w:w="5000" w:type="pct"/>
        <w:tblCellMar>
          <w:left w:w="70" w:type="dxa"/>
          <w:right w:w="70" w:type="dxa"/>
        </w:tblCellMar>
        <w:tblLook w:val="04A0"/>
      </w:tblPr>
      <w:tblGrid>
        <w:gridCol w:w="792"/>
        <w:gridCol w:w="1377"/>
        <w:gridCol w:w="1306"/>
        <w:gridCol w:w="1029"/>
        <w:gridCol w:w="1234"/>
        <w:gridCol w:w="939"/>
        <w:gridCol w:w="1572"/>
        <w:gridCol w:w="1529"/>
      </w:tblGrid>
      <w:tr w:rsidR="006546D1" w:rsidRPr="0059153F" w:rsidTr="006546D1">
        <w:trPr>
          <w:trHeight w:val="480"/>
        </w:trPr>
        <w:tc>
          <w:tcPr>
            <w:tcW w:w="40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Anno</w:t>
            </w:r>
          </w:p>
        </w:tc>
        <w:tc>
          <w:tcPr>
            <w:tcW w:w="70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Popolazione</w:t>
            </w:r>
          </w:p>
        </w:tc>
        <w:tc>
          <w:tcPr>
            <w:tcW w:w="668"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RI (t)</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RD (t)</w:t>
            </w:r>
          </w:p>
        </w:tc>
        <w:tc>
          <w:tcPr>
            <w:tcW w:w="631"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Tot. RU (t)</w:t>
            </w:r>
          </w:p>
        </w:tc>
        <w:tc>
          <w:tcPr>
            <w:tcW w:w="480"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 xml:space="preserve"> RD (%)</w:t>
            </w:r>
          </w:p>
        </w:tc>
        <w:tc>
          <w:tcPr>
            <w:tcW w:w="804"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 xml:space="preserve"> RD Pro capite (kg/ab.*anno)</w:t>
            </w:r>
          </w:p>
        </w:tc>
        <w:tc>
          <w:tcPr>
            <w:tcW w:w="782" w:type="pct"/>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546D1" w:rsidRPr="0059153F" w:rsidRDefault="006546D1" w:rsidP="006546D1">
            <w:pPr>
              <w:jc w:val="center"/>
              <w:rPr>
                <w:b/>
                <w:bCs/>
                <w:color w:val="000000"/>
                <w:sz w:val="18"/>
                <w:szCs w:val="18"/>
              </w:rPr>
            </w:pPr>
            <w:r w:rsidRPr="0059153F">
              <w:rPr>
                <w:b/>
                <w:bCs/>
                <w:color w:val="000000"/>
                <w:sz w:val="18"/>
                <w:szCs w:val="18"/>
              </w:rPr>
              <w:t>RU pro capite (kg/ab.*anno)</w:t>
            </w:r>
          </w:p>
        </w:tc>
      </w:tr>
      <w:tr w:rsidR="006546D1" w:rsidRPr="0059153F"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2019</w:t>
            </w:r>
          </w:p>
        </w:tc>
        <w:tc>
          <w:tcPr>
            <w:tcW w:w="704"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3.573</w:t>
            </w:r>
          </w:p>
        </w:tc>
        <w:tc>
          <w:tcPr>
            <w:tcW w:w="668"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316,10</w:t>
            </w:r>
          </w:p>
        </w:tc>
        <w:tc>
          <w:tcPr>
            <w:tcW w:w="526"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709,73</w:t>
            </w:r>
          </w:p>
        </w:tc>
        <w:tc>
          <w:tcPr>
            <w:tcW w:w="631"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1.025,83</w:t>
            </w:r>
          </w:p>
        </w:tc>
        <w:tc>
          <w:tcPr>
            <w:tcW w:w="480"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69,19</w:t>
            </w:r>
          </w:p>
        </w:tc>
        <w:tc>
          <w:tcPr>
            <w:tcW w:w="804"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198,64</w:t>
            </w:r>
          </w:p>
        </w:tc>
        <w:tc>
          <w:tcPr>
            <w:tcW w:w="782" w:type="pct"/>
            <w:tcBorders>
              <w:top w:val="nil"/>
              <w:left w:val="nil"/>
              <w:bottom w:val="single" w:sz="4" w:space="0" w:color="auto"/>
              <w:right w:val="single" w:sz="4" w:space="0" w:color="auto"/>
            </w:tcBorders>
            <w:shd w:val="clear" w:color="auto" w:fill="auto"/>
            <w:vAlign w:val="center"/>
            <w:hideMark/>
          </w:tcPr>
          <w:p w:rsidR="006546D1" w:rsidRPr="0059153F" w:rsidRDefault="006546D1" w:rsidP="006546D1">
            <w:pPr>
              <w:jc w:val="center"/>
              <w:rPr>
                <w:color w:val="000000"/>
                <w:sz w:val="18"/>
                <w:szCs w:val="18"/>
              </w:rPr>
            </w:pPr>
            <w:r w:rsidRPr="0059153F">
              <w:rPr>
                <w:color w:val="000000"/>
                <w:sz w:val="18"/>
                <w:szCs w:val="18"/>
              </w:rPr>
              <w:t>287,11</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2018</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3.629</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314,90</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769,31</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1.084,21</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70,96</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211,99</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298,76</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2017</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3.646</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277,64</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708,78</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986,42</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71,85</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194,4</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270,55</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2016</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3.645</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306,93</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1.056,97</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1.363,90</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77,5</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289,98</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374,18</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2015</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3.663</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400,59</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660,049</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1.060,64</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62,23</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180,19</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289,56</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2014</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3.696</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512,09</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379,891</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891,977</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42,59</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102,78</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241,34</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2013</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3.693</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718,94</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305,075</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1.024,02</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29,79</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82,61</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277,29</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2012</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3.656</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823,24</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272,92</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1.096,16</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24,9</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74,65</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299,82</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2011</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3.649</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1.128,66</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274,8</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1.403,46</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19,58</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75,31</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384,61</w:t>
            </w:r>
          </w:p>
        </w:tc>
      </w:tr>
      <w:tr w:rsidR="006546D1" w:rsidRPr="006546D1" w:rsidTr="006546D1">
        <w:trPr>
          <w:trHeight w:val="24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2010</w:t>
            </w:r>
          </w:p>
        </w:tc>
        <w:tc>
          <w:tcPr>
            <w:tcW w:w="7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3.684</w:t>
            </w:r>
          </w:p>
        </w:tc>
        <w:tc>
          <w:tcPr>
            <w:tcW w:w="668"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1.182,53</w:t>
            </w:r>
          </w:p>
        </w:tc>
        <w:tc>
          <w:tcPr>
            <w:tcW w:w="526"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185,732</w:t>
            </w:r>
          </w:p>
        </w:tc>
        <w:tc>
          <w:tcPr>
            <w:tcW w:w="631"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1.368,26</w:t>
            </w:r>
          </w:p>
        </w:tc>
        <w:tc>
          <w:tcPr>
            <w:tcW w:w="480"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13,57</w:t>
            </w:r>
          </w:p>
        </w:tc>
        <w:tc>
          <w:tcPr>
            <w:tcW w:w="804"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50,42</w:t>
            </w:r>
          </w:p>
        </w:tc>
        <w:tc>
          <w:tcPr>
            <w:tcW w:w="782" w:type="pct"/>
            <w:tcBorders>
              <w:top w:val="nil"/>
              <w:left w:val="nil"/>
              <w:bottom w:val="single" w:sz="4" w:space="0" w:color="auto"/>
              <w:right w:val="single" w:sz="4" w:space="0" w:color="auto"/>
            </w:tcBorders>
            <w:shd w:val="clear" w:color="auto" w:fill="auto"/>
            <w:vAlign w:val="center"/>
            <w:hideMark/>
          </w:tcPr>
          <w:p w:rsidR="006546D1" w:rsidRPr="006546D1" w:rsidRDefault="006546D1" w:rsidP="006546D1">
            <w:pPr>
              <w:jc w:val="center"/>
              <w:rPr>
                <w:color w:val="000000"/>
                <w:sz w:val="18"/>
                <w:szCs w:val="18"/>
              </w:rPr>
            </w:pPr>
            <w:r w:rsidRPr="006546D1">
              <w:rPr>
                <w:color w:val="000000"/>
                <w:sz w:val="18"/>
                <w:szCs w:val="18"/>
              </w:rPr>
              <w:t>371,41</w:t>
            </w:r>
          </w:p>
        </w:tc>
      </w:tr>
    </w:tbl>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9153F" w:rsidRDefault="0059153F" w:rsidP="00553757">
      <w:pPr>
        <w:pStyle w:val="Corpodeltesto"/>
        <w:rPr>
          <w:rFonts w:ascii="Times New Roman" w:eastAsia="Times New Roman" w:hAnsi="Times New Roman"/>
          <w:sz w:val="24"/>
          <w:szCs w:val="24"/>
          <w:lang w:val="it-IT" w:eastAsia="it-IT"/>
        </w:rPr>
      </w:pPr>
    </w:p>
    <w:p w:rsidR="00553757" w:rsidRPr="00F408A9" w:rsidRDefault="00553757" w:rsidP="00553757">
      <w:pPr>
        <w:pStyle w:val="Corpodeltesto"/>
        <w:rPr>
          <w:rFonts w:ascii="Times New Roman" w:eastAsia="Times New Roman" w:hAnsi="Times New Roman"/>
          <w:sz w:val="24"/>
          <w:szCs w:val="24"/>
          <w:lang w:val="it-IT" w:eastAsia="it-IT"/>
        </w:rPr>
      </w:pPr>
      <w:r>
        <w:rPr>
          <w:rFonts w:ascii="Times New Roman" w:eastAsia="Times New Roman" w:hAnsi="Times New Roman"/>
          <w:sz w:val="24"/>
          <w:szCs w:val="24"/>
          <w:lang w:val="it-IT" w:eastAsia="it-IT"/>
        </w:rPr>
        <w:t xml:space="preserve">Tabella - </w:t>
      </w:r>
      <w:r w:rsidRPr="00DA69D5">
        <w:rPr>
          <w:rFonts w:ascii="Times New Roman" w:eastAsia="Times New Roman" w:hAnsi="Times New Roman"/>
          <w:sz w:val="24"/>
          <w:szCs w:val="24"/>
          <w:lang w:val="it-IT" w:eastAsia="it-IT"/>
        </w:rPr>
        <w:t>Produzione Rifiuti</w:t>
      </w:r>
      <w:r>
        <w:rPr>
          <w:rFonts w:ascii="Times New Roman" w:eastAsia="Times New Roman" w:hAnsi="Times New Roman"/>
          <w:sz w:val="24"/>
          <w:szCs w:val="24"/>
          <w:lang w:val="it-IT" w:eastAsia="it-IT"/>
        </w:rPr>
        <w:t xml:space="preserve"> - Fonte ISPRA</w:t>
      </w:r>
    </w:p>
    <w:p w:rsidR="00020647" w:rsidRDefault="006546D1" w:rsidP="004266B0">
      <w:pPr>
        <w:pStyle w:val="Corpodeltesto"/>
        <w:rPr>
          <w:rFonts w:ascii="Times New Roman" w:eastAsia="Times New Roman" w:hAnsi="Times New Roman"/>
          <w:noProof/>
          <w:sz w:val="24"/>
          <w:szCs w:val="24"/>
          <w:lang w:val="it-IT" w:eastAsia="it-IT"/>
        </w:rPr>
      </w:pPr>
      <w:r>
        <w:rPr>
          <w:rFonts w:ascii="Times New Roman" w:eastAsia="Times New Roman" w:hAnsi="Times New Roman"/>
          <w:noProof/>
          <w:sz w:val="24"/>
          <w:szCs w:val="24"/>
          <w:lang w:val="it-IT" w:eastAsia="it-IT"/>
        </w:rPr>
        <w:drawing>
          <wp:inline distT="0" distB="0" distL="0" distR="0">
            <wp:extent cx="6124575" cy="2171700"/>
            <wp:effectExtent l="19050" t="0" r="9525" b="0"/>
            <wp:docPr id="2" name="Immagine 1" descr="1624271855-San_Pietro_in_Guarano-Andamento_per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271855-San_Pietro_in_Guarano-Andamento_percRD.png"/>
                    <pic:cNvPicPr/>
                  </pic:nvPicPr>
                  <pic:blipFill>
                    <a:blip r:embed="rId11"/>
                    <a:stretch>
                      <a:fillRect/>
                    </a:stretch>
                  </pic:blipFill>
                  <pic:spPr>
                    <a:xfrm>
                      <a:off x="0" y="0"/>
                      <a:ext cx="6120130" cy="2170124"/>
                    </a:xfrm>
                    <a:prstGeom prst="rect">
                      <a:avLst/>
                    </a:prstGeom>
                  </pic:spPr>
                </pic:pic>
              </a:graphicData>
            </a:graphic>
          </wp:inline>
        </w:drawing>
      </w:r>
    </w:p>
    <w:p w:rsidR="00020647" w:rsidRPr="00DE4217" w:rsidRDefault="00020647" w:rsidP="00020647">
      <w:pPr>
        <w:rPr>
          <w:sz w:val="10"/>
          <w:szCs w:val="10"/>
          <w:lang w:eastAsia="en-GB"/>
        </w:rPr>
      </w:pPr>
    </w:p>
    <w:p w:rsidR="00020647" w:rsidRPr="00773DFA" w:rsidRDefault="00020647" w:rsidP="00020647">
      <w:pPr>
        <w:pStyle w:val="Titolo3"/>
      </w:pPr>
      <w:bookmarkStart w:id="23" w:name="_Toc62042165"/>
      <w:bookmarkStart w:id="24" w:name="_Toc62470127"/>
      <w:bookmarkStart w:id="25" w:name="_Toc75194846"/>
      <w:r w:rsidRPr="00773DFA">
        <w:t>Fonti di finanziamento</w:t>
      </w:r>
      <w:bookmarkEnd w:id="23"/>
      <w:bookmarkEnd w:id="24"/>
      <w:bookmarkEnd w:id="25"/>
    </w:p>
    <w:p w:rsidR="00020647" w:rsidRPr="005776D6" w:rsidRDefault="00020647" w:rsidP="00020647">
      <w:r w:rsidRPr="005776D6">
        <w:t xml:space="preserve">Il Comune di </w:t>
      </w:r>
      <w:r w:rsidR="00E8757D">
        <w:t>SAN PIETRO IN GUARANO</w:t>
      </w:r>
      <w:r w:rsidRPr="005776D6">
        <w:t xml:space="preserve">finanzia l’esecuzione delle attività inerenti </w:t>
      </w:r>
      <w:r>
        <w:t>al</w:t>
      </w:r>
      <w:r w:rsidRPr="005776D6">
        <w:t>la gestione del servizio integrato dei RU mediante le entrate tariffarie TARI.</w:t>
      </w:r>
    </w:p>
    <w:p w:rsidR="00534359" w:rsidRPr="006F2F79" w:rsidRDefault="00534359" w:rsidP="009D2FE5">
      <w:pPr>
        <w:autoSpaceDE w:val="0"/>
        <w:autoSpaceDN w:val="0"/>
        <w:adjustRightInd w:val="0"/>
        <w:rPr>
          <w:sz w:val="10"/>
          <w:szCs w:val="10"/>
        </w:rPr>
      </w:pPr>
    </w:p>
    <w:p w:rsidR="009D2FE5" w:rsidRDefault="009D2FE5" w:rsidP="009D2FE5">
      <w:pPr>
        <w:pStyle w:val="Titolo2"/>
        <w:tabs>
          <w:tab w:val="clear" w:pos="1144"/>
        </w:tabs>
        <w:ind w:left="567"/>
      </w:pPr>
      <w:bookmarkStart w:id="26" w:name="_Toc75194847"/>
      <w:r w:rsidRPr="009D2FE5">
        <w:t>Dati per la determinazione delle entrate di riferimento</w:t>
      </w:r>
      <w:bookmarkEnd w:id="26"/>
    </w:p>
    <w:p w:rsidR="0087453B" w:rsidRDefault="0087453B" w:rsidP="0087453B">
      <w:pPr>
        <w:pStyle w:val="Paragrafoelenco"/>
        <w:ind w:left="0"/>
        <w:jc w:val="both"/>
        <w:rPr>
          <w:sz w:val="24"/>
          <w:szCs w:val="24"/>
        </w:rPr>
      </w:pPr>
      <w:bookmarkStart w:id="27" w:name="_Toc59049409"/>
      <w:bookmarkStart w:id="28" w:name="_Toc59135148"/>
      <w:bookmarkStart w:id="29" w:name="_Toc59210231"/>
      <w:r>
        <w:rPr>
          <w:sz w:val="24"/>
          <w:szCs w:val="24"/>
        </w:rPr>
        <w:t>Il PEF redatto in conformità al modello allegato all’MTR sintetizza tutte le informazioni e i dati rilevanti per la determinazione delle entrate tariffarie relative all’anno a (2021) in coerenza con i criteri disposti dal MTR.</w:t>
      </w:r>
    </w:p>
    <w:p w:rsidR="0087453B" w:rsidRPr="00C371F2" w:rsidRDefault="0087453B" w:rsidP="0087453B">
      <w:r w:rsidRPr="00C371F2">
        <w:t>Per quanto concerne i criteri generali di ricostruzione dei dati dei costi ammessi a riconoscimento tariffario per l’anno 202</w:t>
      </w:r>
      <w:r>
        <w:t>1</w:t>
      </w:r>
      <w:r w:rsidRPr="00C371F2">
        <w:t xml:space="preserve"> in base alle prescrizioni contenute nel MTR ARERA occorre considerare quanto segue:</w:t>
      </w:r>
    </w:p>
    <w:p w:rsidR="0087453B" w:rsidRPr="00C371F2" w:rsidRDefault="0087453B" w:rsidP="0087453B">
      <w:pPr>
        <w:pStyle w:val="Paragrafoelenco"/>
        <w:numPr>
          <w:ilvl w:val="0"/>
          <w:numId w:val="20"/>
        </w:numPr>
        <w:ind w:left="284" w:hanging="284"/>
        <w:jc w:val="both"/>
        <w:rPr>
          <w:sz w:val="24"/>
          <w:szCs w:val="24"/>
        </w:rPr>
      </w:pPr>
      <w:r w:rsidRPr="00C371F2">
        <w:rPr>
          <w:sz w:val="24"/>
          <w:szCs w:val="24"/>
        </w:rPr>
        <w:t>la base di partenza dei dati è costituita dai costi effettivi rilevati nell’anno di riferimento (201</w:t>
      </w:r>
      <w:r>
        <w:rPr>
          <w:sz w:val="24"/>
          <w:szCs w:val="24"/>
        </w:rPr>
        <w:t>9</w:t>
      </w:r>
      <w:r w:rsidRPr="00C371F2">
        <w:rPr>
          <w:sz w:val="24"/>
          <w:szCs w:val="24"/>
        </w:rPr>
        <w:t>) come risultanti da fonti contabili obbligatorie (art. 6.2 – All. A Del. 443/2019/R/rif);</w:t>
      </w:r>
    </w:p>
    <w:p w:rsidR="0087453B" w:rsidRPr="00C371F2" w:rsidRDefault="0087453B" w:rsidP="0087453B">
      <w:pPr>
        <w:pStyle w:val="Paragrafoelenco"/>
        <w:numPr>
          <w:ilvl w:val="0"/>
          <w:numId w:val="20"/>
        </w:numPr>
        <w:ind w:left="284" w:hanging="284"/>
        <w:jc w:val="both"/>
        <w:rPr>
          <w:sz w:val="24"/>
          <w:szCs w:val="24"/>
        </w:rPr>
      </w:pPr>
      <w:r w:rsidRPr="00C371F2">
        <w:rPr>
          <w:sz w:val="24"/>
          <w:szCs w:val="24"/>
        </w:rPr>
        <w:t>i costi riconosciuti comprendono tutte le voci di natura ricorrente sostenute nell’esercizio (a-2), al netto dei costi attribuibili alle attività capitalizzate e delle poste rettificative (art. 6.3 – All. A Del. 443/2019/R/rif);</w:t>
      </w:r>
    </w:p>
    <w:p w:rsidR="0087453B" w:rsidRPr="00D52D73" w:rsidRDefault="0087453B" w:rsidP="0087453B">
      <w:pPr>
        <w:pStyle w:val="Paragrafoelenco"/>
        <w:numPr>
          <w:ilvl w:val="0"/>
          <w:numId w:val="20"/>
        </w:numPr>
        <w:ind w:left="284" w:hanging="284"/>
        <w:jc w:val="both"/>
        <w:rPr>
          <w:sz w:val="24"/>
          <w:szCs w:val="24"/>
        </w:rPr>
      </w:pPr>
      <w:r w:rsidRPr="00D52D73">
        <w:rPr>
          <w:sz w:val="24"/>
          <w:szCs w:val="24"/>
        </w:rPr>
        <w:t xml:space="preserve">Ai fini dell’aggiornamento dei costi operativi, il tasso di inflazione relativo all’anno a, inteso come variazione percentuale della media calcolata su 12 mesi dell’indice mensile ISTAT per le Famiglie di Operai ed Impiegati (FOI esclusi i tabacchi) nei mesi da luglio dell’anno (a-1) rispetto a giugno dell’anno successivo, per le annualità 2019,2020 e 2021, è pari a </w:t>
      </w:r>
      <w:r w:rsidRPr="00D52D73">
        <w:rPr>
          <w:rFonts w:ascii="Cambria Math" w:hAnsi="Cambria Math" w:cs="Cambria Math"/>
          <w:sz w:val="24"/>
          <w:szCs w:val="24"/>
        </w:rPr>
        <w:t>𝐼</w:t>
      </w:r>
      <w:r w:rsidRPr="00D52D73">
        <w:rPr>
          <w:sz w:val="24"/>
          <w:szCs w:val="24"/>
        </w:rPr>
        <w:t xml:space="preserve">2019 = 0,90%, a </w:t>
      </w:r>
      <w:r w:rsidRPr="00D52D73">
        <w:rPr>
          <w:rFonts w:ascii="Cambria Math" w:hAnsi="Cambria Math" w:cs="Cambria Math"/>
          <w:sz w:val="24"/>
          <w:szCs w:val="24"/>
        </w:rPr>
        <w:t>𝐼</w:t>
      </w:r>
      <w:r w:rsidRPr="00D52D73">
        <w:rPr>
          <w:sz w:val="24"/>
          <w:szCs w:val="24"/>
        </w:rPr>
        <w:t xml:space="preserve">2020 = 1,10% e a </w:t>
      </w:r>
      <w:r w:rsidRPr="00D52D73">
        <w:rPr>
          <w:rFonts w:ascii="Cambria Math" w:hAnsi="Cambria Math" w:cs="Cambria Math"/>
          <w:sz w:val="24"/>
          <w:szCs w:val="24"/>
        </w:rPr>
        <w:t>𝐼</w:t>
      </w:r>
      <w:r w:rsidRPr="00D52D73">
        <w:rPr>
          <w:sz w:val="24"/>
          <w:szCs w:val="24"/>
        </w:rPr>
        <w:t>2021 = 0,10% (art. 6.5 – All. A Del. 443/2019/R/rif).</w:t>
      </w:r>
    </w:p>
    <w:p w:rsidR="0087453B" w:rsidRPr="00C371F2" w:rsidRDefault="0087453B" w:rsidP="0087453B">
      <w:pPr>
        <w:pStyle w:val="Paragrafoelenco"/>
        <w:numPr>
          <w:ilvl w:val="0"/>
          <w:numId w:val="20"/>
        </w:numPr>
        <w:spacing w:after="0"/>
        <w:ind w:left="284" w:hanging="284"/>
        <w:jc w:val="both"/>
        <w:rPr>
          <w:sz w:val="24"/>
          <w:szCs w:val="24"/>
        </w:rPr>
      </w:pPr>
      <w:r w:rsidRPr="00C371F2">
        <w:rPr>
          <w:sz w:val="24"/>
          <w:szCs w:val="24"/>
        </w:rPr>
        <w:t>ai costi determinati come ai punti precedenti è possibile aggiungere componenti di costo di natura previsionale, nel caso in cui si verifichino congiuntamente le seguenti condizioni:</w:t>
      </w:r>
    </w:p>
    <w:p w:rsidR="0087453B" w:rsidRPr="00C371F2" w:rsidRDefault="0087453B" w:rsidP="0087453B">
      <w:pPr>
        <w:pStyle w:val="Paragrafoelenco"/>
        <w:numPr>
          <w:ilvl w:val="1"/>
          <w:numId w:val="20"/>
        </w:numPr>
        <w:spacing w:after="0"/>
        <w:ind w:left="567" w:hanging="283"/>
        <w:jc w:val="both"/>
        <w:rPr>
          <w:sz w:val="24"/>
          <w:szCs w:val="24"/>
        </w:rPr>
      </w:pPr>
      <w:r w:rsidRPr="00C371F2">
        <w:rPr>
          <w:sz w:val="24"/>
          <w:szCs w:val="24"/>
        </w:rPr>
        <w:t>sia possibile identificare puntualmente la corrispondenza tra il target di miglioramento da conseguire e le citate componenti;</w:t>
      </w:r>
    </w:p>
    <w:p w:rsidR="0087453B" w:rsidRPr="00C371F2" w:rsidRDefault="0087453B" w:rsidP="0087453B">
      <w:pPr>
        <w:pStyle w:val="Paragrafoelenco"/>
        <w:numPr>
          <w:ilvl w:val="1"/>
          <w:numId w:val="20"/>
        </w:numPr>
        <w:spacing w:after="0"/>
        <w:ind w:left="567" w:hanging="283"/>
        <w:jc w:val="both"/>
        <w:rPr>
          <w:sz w:val="24"/>
          <w:szCs w:val="24"/>
        </w:rPr>
      </w:pPr>
      <w:r w:rsidRPr="00C371F2">
        <w:rPr>
          <w:sz w:val="24"/>
          <w:szCs w:val="24"/>
        </w:rPr>
        <w:t>la valorizzazione delle medesime possa essere effettuata sulla base di dati oggettivi, verificabili e ispirati all’efficienza dei costi, tenuto conto dei potenziali effetti di scala (art. 8 – All. A Del. 443/2019/R/rif).</w:t>
      </w:r>
    </w:p>
    <w:p w:rsidR="0087453B" w:rsidRDefault="0087453B" w:rsidP="0087453B">
      <w:pPr>
        <w:pStyle w:val="Paragrafoelenco"/>
        <w:ind w:left="0"/>
        <w:jc w:val="both"/>
        <w:rPr>
          <w:sz w:val="24"/>
          <w:szCs w:val="24"/>
        </w:rPr>
      </w:pPr>
    </w:p>
    <w:p w:rsidR="0087453B" w:rsidRDefault="0087453B" w:rsidP="0087453B">
      <w:pPr>
        <w:pStyle w:val="Paragrafoelenco"/>
        <w:ind w:left="0"/>
        <w:jc w:val="both"/>
      </w:pPr>
      <w:r w:rsidRPr="00814B6A">
        <w:rPr>
          <w:sz w:val="24"/>
          <w:szCs w:val="24"/>
        </w:rPr>
        <w:t>Nei paragrafi successivi verranno descritte le informazioni e i dati indicati nella Appendice 1 ai fini della determinazione dei costi del servizio ammessi a copertura tariffaria.</w:t>
      </w:r>
    </w:p>
    <w:p w:rsidR="001C0811" w:rsidRDefault="001F2A91" w:rsidP="001C0811">
      <w:pPr>
        <w:pStyle w:val="Titolo3"/>
      </w:pPr>
      <w:bookmarkStart w:id="30" w:name="_Toc75194848"/>
      <w:r w:rsidRPr="00A243B1">
        <w:lastRenderedPageBreak/>
        <w:t>Dati di conto economico</w:t>
      </w:r>
      <w:bookmarkEnd w:id="27"/>
      <w:bookmarkEnd w:id="28"/>
      <w:bookmarkEnd w:id="29"/>
      <w:bookmarkEnd w:id="30"/>
    </w:p>
    <w:p w:rsidR="00E317B7" w:rsidRPr="004A0BB2" w:rsidRDefault="00E317B7" w:rsidP="00E317B7">
      <w:pPr>
        <w:pStyle w:val="Titolo4"/>
      </w:pPr>
      <w:bookmarkStart w:id="31" w:name="_Toc75192600"/>
      <w:bookmarkStart w:id="32" w:name="_Toc75194849"/>
      <w:r>
        <w:t>Determinazione dei Costi</w:t>
      </w:r>
      <w:bookmarkEnd w:id="31"/>
      <w:bookmarkEnd w:id="32"/>
    </w:p>
    <w:p w:rsidR="00E317B7" w:rsidRPr="00886319" w:rsidRDefault="00E317B7" w:rsidP="00E317B7">
      <w:r w:rsidRPr="00886319">
        <w:t xml:space="preserve">Il Comune di </w:t>
      </w:r>
      <w:r>
        <w:t>SAN PIETRO IN GUARANO</w:t>
      </w:r>
      <w:r w:rsidRPr="00886319">
        <w:t xml:space="preserve"> in seguito alla comunicazione di inerzia, come disciplinato dalla delibera ARERA n. 57/2020:</w:t>
      </w:r>
    </w:p>
    <w:p w:rsidR="00E317B7" w:rsidRPr="00886319" w:rsidRDefault="00E317B7" w:rsidP="00E317B7">
      <w:pPr>
        <w:rPr>
          <w:sz w:val="23"/>
          <w:szCs w:val="23"/>
        </w:rPr>
      </w:pPr>
      <w:r w:rsidRPr="00886319">
        <w:t>“</w:t>
      </w:r>
      <w:r w:rsidRPr="00886319">
        <w:rPr>
          <w:i/>
          <w:iCs/>
          <w:sz w:val="23"/>
          <w:szCs w:val="23"/>
        </w:rPr>
        <w:t>In caso di inerzia del gestore, l’Ente territorialmente competente provvede alla predisposizione del piano economico finanziario sulla base degli elementi conoscitivi a disposizione, ivi compresi i valori dei fabbisogni standard o il dato del costo medio di settore come risultante dall’ultimo Rapporto dell’ISPRA, e in un’ottica di tutela degli utenti. Sono comunque esclusi incrementi dei corrispettivi e adeguamenti degli stessi all’inflazione.</w:t>
      </w:r>
      <w:r w:rsidRPr="00886319">
        <w:rPr>
          <w:sz w:val="23"/>
          <w:szCs w:val="23"/>
        </w:rPr>
        <w:t>”.</w:t>
      </w:r>
    </w:p>
    <w:p w:rsidR="00E317B7" w:rsidRPr="00886319" w:rsidRDefault="00E317B7" w:rsidP="00E317B7">
      <w:pPr>
        <w:rPr>
          <w:sz w:val="23"/>
          <w:szCs w:val="23"/>
        </w:rPr>
      </w:pPr>
    </w:p>
    <w:p w:rsidR="00E317B7" w:rsidRDefault="00E317B7" w:rsidP="00E317B7">
      <w:pPr>
        <w:rPr>
          <w:sz w:val="23"/>
          <w:szCs w:val="23"/>
        </w:rPr>
      </w:pPr>
      <w:r w:rsidRPr="00886319">
        <w:rPr>
          <w:sz w:val="23"/>
          <w:szCs w:val="23"/>
        </w:rPr>
        <w:t>Il PEF è stato, pertanto, redatto tenendo conto dei cos</w:t>
      </w:r>
      <w:r>
        <w:rPr>
          <w:sz w:val="23"/>
          <w:szCs w:val="23"/>
        </w:rPr>
        <w:t>ti sostenuti dal Comune nel 2020</w:t>
      </w:r>
      <w:r w:rsidRPr="00886319">
        <w:rPr>
          <w:sz w:val="23"/>
          <w:szCs w:val="23"/>
        </w:rPr>
        <w:t>, senza eccedere i limiti imposti dalla suindicata normativa e pertanto, a tutela degli utenti non è stato superato il valore del totale delle e</w:t>
      </w:r>
      <w:r>
        <w:rPr>
          <w:sz w:val="23"/>
          <w:szCs w:val="23"/>
        </w:rPr>
        <w:t>ntrate tariffarie dell’anno 2020.</w:t>
      </w:r>
    </w:p>
    <w:p w:rsidR="00E317B7" w:rsidRPr="00E317B7" w:rsidRDefault="00E317B7" w:rsidP="00E317B7">
      <w:pPr>
        <w:rPr>
          <w:lang w:eastAsia="en-GB"/>
        </w:rPr>
      </w:pPr>
    </w:p>
    <w:p w:rsidR="00237B38" w:rsidRDefault="00D73332" w:rsidP="00237B38">
      <w:r>
        <w:rPr>
          <w:rFonts w:cstheme="minorHAnsi"/>
        </w:rPr>
        <w:t xml:space="preserve">I dati indicati sono i medesimi inseriti nel PEF 2020, meglio specificati nella tabella che segue: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53"/>
        <w:gridCol w:w="1625"/>
      </w:tblGrid>
      <w:tr w:rsidR="00A827AE" w:rsidRPr="006F2F79" w:rsidTr="00317970">
        <w:trPr>
          <w:trHeight w:val="227"/>
        </w:trPr>
        <w:tc>
          <w:tcPr>
            <w:tcW w:w="4169" w:type="pct"/>
            <w:shd w:val="clear" w:color="auto" w:fill="A8D08D" w:themeFill="accent6" w:themeFillTint="99"/>
            <w:noWrap/>
            <w:vAlign w:val="center"/>
            <w:hideMark/>
          </w:tcPr>
          <w:p w:rsidR="00A827AE" w:rsidRPr="006F2F79" w:rsidRDefault="00A827AE" w:rsidP="0051482E">
            <w:pPr>
              <w:jc w:val="center"/>
              <w:rPr>
                <w:b/>
                <w:bCs/>
                <w:color w:val="000000"/>
                <w:sz w:val="18"/>
                <w:szCs w:val="18"/>
              </w:rPr>
            </w:pPr>
            <w:r>
              <w:rPr>
                <w:b/>
                <w:bCs/>
                <w:color w:val="000000"/>
                <w:sz w:val="18"/>
                <w:szCs w:val="18"/>
              </w:rPr>
              <w:t xml:space="preserve">COMUNE DI </w:t>
            </w:r>
            <w:r w:rsidR="00E8757D">
              <w:rPr>
                <w:b/>
                <w:bCs/>
                <w:color w:val="000000"/>
                <w:sz w:val="18"/>
                <w:szCs w:val="18"/>
              </w:rPr>
              <w:t>SAN PIETRO IN GUARANO</w:t>
            </w:r>
          </w:p>
        </w:tc>
        <w:tc>
          <w:tcPr>
            <w:tcW w:w="831" w:type="pct"/>
            <w:shd w:val="clear" w:color="auto" w:fill="A8D08D" w:themeFill="accent6" w:themeFillTint="99"/>
            <w:vAlign w:val="center"/>
            <w:hideMark/>
          </w:tcPr>
          <w:p w:rsidR="00A827AE" w:rsidRPr="006F2F79" w:rsidRDefault="00A827AE" w:rsidP="0051482E">
            <w:pPr>
              <w:jc w:val="center"/>
              <w:rPr>
                <w:b/>
                <w:bCs/>
                <w:color w:val="000000"/>
                <w:sz w:val="18"/>
                <w:szCs w:val="18"/>
              </w:rPr>
            </w:pPr>
            <w:r w:rsidRPr="006F2F79">
              <w:rPr>
                <w:b/>
                <w:bCs/>
                <w:color w:val="000000"/>
                <w:sz w:val="18"/>
                <w:szCs w:val="18"/>
              </w:rPr>
              <w:t>Anno20</w:t>
            </w:r>
            <w:r>
              <w:rPr>
                <w:b/>
                <w:bCs/>
                <w:color w:val="000000"/>
                <w:sz w:val="18"/>
                <w:szCs w:val="18"/>
              </w:rPr>
              <w:t>21</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Costi dell’attività di raccolta e trasporto dei rifiuti urbani indifferenziati – </w:t>
            </w:r>
            <w:r w:rsidRPr="006F2F79">
              <w:rPr>
                <w:b/>
                <w:bCs/>
                <w:color w:val="000000"/>
                <w:sz w:val="18"/>
                <w:szCs w:val="18"/>
              </w:rPr>
              <w:t>CRT</w:t>
            </w:r>
          </w:p>
        </w:tc>
        <w:tc>
          <w:tcPr>
            <w:tcW w:w="831" w:type="pct"/>
            <w:shd w:val="clear" w:color="auto" w:fill="auto"/>
            <w:noWrap/>
            <w:vAlign w:val="center"/>
            <w:hideMark/>
          </w:tcPr>
          <w:p w:rsidR="00351F3D" w:rsidRPr="005E2773" w:rsidRDefault="00D353B5" w:rsidP="0051482E">
            <w:pPr>
              <w:jc w:val="right"/>
              <w:rPr>
                <w:b/>
                <w:bCs/>
                <w:color w:val="000000"/>
                <w:sz w:val="18"/>
                <w:szCs w:val="18"/>
              </w:rPr>
            </w:pPr>
            <w:r>
              <w:rPr>
                <w:b/>
                <w:bCs/>
                <w:color w:val="000000"/>
                <w:sz w:val="18"/>
                <w:szCs w:val="18"/>
              </w:rPr>
              <w:t>35.929</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Costi dell’attività di trattamento e smaltimento dei rifiuti urbani – </w:t>
            </w:r>
            <w:r w:rsidRPr="006F2F79">
              <w:rPr>
                <w:b/>
                <w:bCs/>
                <w:color w:val="000000"/>
                <w:sz w:val="18"/>
                <w:szCs w:val="18"/>
              </w:rPr>
              <w:t>CTS</w:t>
            </w:r>
          </w:p>
        </w:tc>
        <w:tc>
          <w:tcPr>
            <w:tcW w:w="831" w:type="pct"/>
            <w:shd w:val="clear" w:color="auto" w:fill="auto"/>
            <w:noWrap/>
            <w:vAlign w:val="center"/>
            <w:hideMark/>
          </w:tcPr>
          <w:p w:rsidR="00351F3D" w:rsidRPr="005E2773" w:rsidRDefault="00D353B5" w:rsidP="0051482E">
            <w:pPr>
              <w:jc w:val="right"/>
              <w:rPr>
                <w:b/>
                <w:bCs/>
                <w:color w:val="000000"/>
                <w:sz w:val="18"/>
                <w:szCs w:val="18"/>
              </w:rPr>
            </w:pPr>
            <w:r>
              <w:rPr>
                <w:b/>
                <w:bCs/>
                <w:color w:val="000000"/>
                <w:sz w:val="18"/>
                <w:szCs w:val="18"/>
              </w:rPr>
              <w:t>31.721</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Costi dell’attività di trattamento e recupero dei rifiuti urbani – </w:t>
            </w:r>
            <w:r w:rsidRPr="006F2F79">
              <w:rPr>
                <w:b/>
                <w:bCs/>
                <w:color w:val="000000"/>
                <w:sz w:val="18"/>
                <w:szCs w:val="18"/>
              </w:rPr>
              <w:t>CTR</w:t>
            </w:r>
          </w:p>
        </w:tc>
        <w:tc>
          <w:tcPr>
            <w:tcW w:w="831" w:type="pct"/>
            <w:shd w:val="clear" w:color="auto" w:fill="auto"/>
            <w:noWrap/>
            <w:vAlign w:val="center"/>
            <w:hideMark/>
          </w:tcPr>
          <w:p w:rsidR="00351F3D" w:rsidRPr="005E2773" w:rsidRDefault="00D353B5" w:rsidP="0051482E">
            <w:pPr>
              <w:jc w:val="right"/>
              <w:rPr>
                <w:b/>
                <w:bCs/>
                <w:color w:val="000000"/>
                <w:sz w:val="18"/>
                <w:szCs w:val="18"/>
              </w:rPr>
            </w:pPr>
            <w:r>
              <w:rPr>
                <w:b/>
                <w:bCs/>
                <w:color w:val="000000"/>
                <w:sz w:val="18"/>
                <w:szCs w:val="18"/>
              </w:rPr>
              <w:t>58.606</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Costi dell’attività di raccolta e trasporto delle frazioni differenziate – </w:t>
            </w:r>
            <w:r w:rsidRPr="006F2F79">
              <w:rPr>
                <w:b/>
                <w:bCs/>
                <w:color w:val="000000"/>
                <w:sz w:val="18"/>
                <w:szCs w:val="18"/>
              </w:rPr>
              <w:t>CRD</w:t>
            </w:r>
          </w:p>
        </w:tc>
        <w:tc>
          <w:tcPr>
            <w:tcW w:w="831" w:type="pct"/>
            <w:shd w:val="clear" w:color="auto" w:fill="auto"/>
            <w:noWrap/>
            <w:vAlign w:val="center"/>
            <w:hideMark/>
          </w:tcPr>
          <w:p w:rsidR="00351F3D" w:rsidRPr="005E2773" w:rsidRDefault="00D353B5" w:rsidP="00351F3D">
            <w:pPr>
              <w:jc w:val="right"/>
              <w:rPr>
                <w:b/>
                <w:bCs/>
                <w:color w:val="000000"/>
                <w:sz w:val="18"/>
                <w:szCs w:val="18"/>
              </w:rPr>
            </w:pPr>
            <w:r>
              <w:rPr>
                <w:b/>
                <w:bCs/>
                <w:color w:val="000000"/>
                <w:sz w:val="18"/>
                <w:szCs w:val="18"/>
              </w:rPr>
              <w:t>179.730</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Proventi della vendita di materiale ed energia derivante da rifiuti – </w:t>
            </w:r>
            <w:r w:rsidRPr="006F2F79">
              <w:rPr>
                <w:b/>
                <w:bCs/>
                <w:color w:val="000000"/>
                <w:sz w:val="18"/>
                <w:szCs w:val="18"/>
              </w:rPr>
              <w:t>AR</w:t>
            </w:r>
          </w:p>
        </w:tc>
        <w:tc>
          <w:tcPr>
            <w:tcW w:w="831" w:type="pct"/>
            <w:shd w:val="clear" w:color="auto" w:fill="auto"/>
            <w:noWrap/>
            <w:vAlign w:val="center"/>
            <w:hideMark/>
          </w:tcPr>
          <w:p w:rsidR="00351F3D" w:rsidRPr="005E2773" w:rsidRDefault="00D353B5" w:rsidP="0051482E">
            <w:pPr>
              <w:jc w:val="right"/>
              <w:rPr>
                <w:b/>
                <w:bCs/>
                <w:color w:val="000000"/>
                <w:sz w:val="18"/>
                <w:szCs w:val="18"/>
              </w:rPr>
            </w:pPr>
            <w:r>
              <w:rPr>
                <w:b/>
                <w:bCs/>
                <w:color w:val="000000"/>
                <w:sz w:val="18"/>
                <w:szCs w:val="18"/>
              </w:rPr>
              <w:t>0</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sz w:val="18"/>
                <w:szCs w:val="18"/>
              </w:rPr>
            </w:pPr>
            <w:r w:rsidRPr="006F2F79">
              <w:rPr>
                <w:sz w:val="18"/>
                <w:szCs w:val="18"/>
              </w:rPr>
              <w:t xml:space="preserve">Ricavi derivanti dai corrispettivi riconosciuti dal CONAI – </w:t>
            </w:r>
            <w:r w:rsidRPr="006F2F79">
              <w:rPr>
                <w:b/>
                <w:bCs/>
                <w:color w:val="000000"/>
                <w:sz w:val="18"/>
                <w:szCs w:val="18"/>
              </w:rPr>
              <w:t>AR</w:t>
            </w:r>
            <w:r w:rsidRPr="006F2F79">
              <w:rPr>
                <w:b/>
                <w:bCs/>
                <w:color w:val="000000"/>
                <w:sz w:val="18"/>
                <w:szCs w:val="18"/>
                <w:vertAlign w:val="subscript"/>
              </w:rPr>
              <w:t>CONAI</w:t>
            </w:r>
          </w:p>
        </w:tc>
        <w:tc>
          <w:tcPr>
            <w:tcW w:w="831" w:type="pct"/>
            <w:shd w:val="clear" w:color="auto" w:fill="auto"/>
            <w:noWrap/>
            <w:vAlign w:val="center"/>
            <w:hideMark/>
          </w:tcPr>
          <w:p w:rsidR="00351F3D" w:rsidRPr="005E2773" w:rsidRDefault="00D353B5" w:rsidP="0051482E">
            <w:pPr>
              <w:jc w:val="right"/>
              <w:rPr>
                <w:b/>
                <w:bCs/>
                <w:color w:val="000000"/>
                <w:sz w:val="18"/>
                <w:szCs w:val="18"/>
              </w:rPr>
            </w:pPr>
            <w:r>
              <w:rPr>
                <w:b/>
                <w:bCs/>
                <w:color w:val="000000"/>
                <w:sz w:val="18"/>
                <w:szCs w:val="18"/>
              </w:rPr>
              <w:t>0</w:t>
            </w:r>
          </w:p>
        </w:tc>
      </w:tr>
      <w:tr w:rsidR="00351F3D" w:rsidRPr="006F2F79" w:rsidTr="00317970">
        <w:trPr>
          <w:trHeight w:val="227"/>
        </w:trPr>
        <w:tc>
          <w:tcPr>
            <w:tcW w:w="4169" w:type="pct"/>
            <w:shd w:val="clear" w:color="auto" w:fill="auto"/>
            <w:noWrap/>
            <w:vAlign w:val="center"/>
          </w:tcPr>
          <w:p w:rsidR="00351F3D" w:rsidRPr="006F2F79" w:rsidRDefault="00351F3D" w:rsidP="0051482E">
            <w:pPr>
              <w:rPr>
                <w:sz w:val="18"/>
                <w:szCs w:val="18"/>
              </w:rPr>
            </w:pPr>
            <w:r>
              <w:rPr>
                <w:sz w:val="18"/>
                <w:szCs w:val="18"/>
              </w:rPr>
              <w:t>Oneri relativi all’IVA</w:t>
            </w:r>
          </w:p>
        </w:tc>
        <w:tc>
          <w:tcPr>
            <w:tcW w:w="831" w:type="pct"/>
            <w:shd w:val="clear" w:color="auto" w:fill="auto"/>
            <w:noWrap/>
            <w:vAlign w:val="center"/>
          </w:tcPr>
          <w:p w:rsidR="00351F3D" w:rsidRPr="006F2F79" w:rsidRDefault="00D353B5" w:rsidP="0051482E">
            <w:pPr>
              <w:jc w:val="right"/>
              <w:rPr>
                <w:b/>
                <w:bCs/>
                <w:color w:val="000000"/>
                <w:sz w:val="18"/>
                <w:szCs w:val="18"/>
              </w:rPr>
            </w:pPr>
            <w:r>
              <w:rPr>
                <w:b/>
                <w:bCs/>
                <w:color w:val="000000"/>
                <w:sz w:val="18"/>
                <w:szCs w:val="18"/>
              </w:rPr>
              <w:t>0</w:t>
            </w:r>
          </w:p>
        </w:tc>
      </w:tr>
      <w:tr w:rsidR="00351F3D" w:rsidRPr="006F2F79" w:rsidTr="00317970">
        <w:trPr>
          <w:trHeight w:val="227"/>
        </w:trPr>
        <w:tc>
          <w:tcPr>
            <w:tcW w:w="4169" w:type="pct"/>
            <w:shd w:val="clear" w:color="auto" w:fill="auto"/>
            <w:noWrap/>
            <w:vAlign w:val="center"/>
            <w:hideMark/>
          </w:tcPr>
          <w:p w:rsidR="00351F3D" w:rsidRPr="006F2F79" w:rsidRDefault="00351F3D" w:rsidP="0051482E">
            <w:pPr>
              <w:rPr>
                <w:color w:val="000000"/>
                <w:sz w:val="18"/>
                <w:szCs w:val="18"/>
              </w:rPr>
            </w:pPr>
            <w:r w:rsidRPr="006F2F79">
              <w:rPr>
                <w:color w:val="000000"/>
                <w:sz w:val="18"/>
                <w:szCs w:val="18"/>
              </w:rPr>
              <w:t> </w:t>
            </w:r>
          </w:p>
        </w:tc>
        <w:tc>
          <w:tcPr>
            <w:tcW w:w="831" w:type="pct"/>
            <w:shd w:val="clear" w:color="auto" w:fill="auto"/>
            <w:noWrap/>
            <w:vAlign w:val="center"/>
            <w:hideMark/>
          </w:tcPr>
          <w:p w:rsidR="00351F3D" w:rsidRPr="006F2F79" w:rsidRDefault="00351F3D" w:rsidP="0051482E">
            <w:pPr>
              <w:jc w:val="right"/>
              <w:rPr>
                <w:b/>
                <w:bCs/>
                <w:color w:val="000000"/>
                <w:sz w:val="18"/>
                <w:szCs w:val="18"/>
              </w:rPr>
            </w:pP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Costi dell’attività di spazzamento e di lavaggio – </w:t>
            </w:r>
            <w:r w:rsidRPr="006F2F79">
              <w:rPr>
                <w:b/>
                <w:bCs/>
                <w:color w:val="000000"/>
                <w:sz w:val="18"/>
                <w:szCs w:val="18"/>
              </w:rPr>
              <w:t>CSL</w:t>
            </w:r>
          </w:p>
        </w:tc>
        <w:tc>
          <w:tcPr>
            <w:tcW w:w="831" w:type="pct"/>
            <w:shd w:val="clear" w:color="auto" w:fill="auto"/>
            <w:noWrap/>
            <w:vAlign w:val="center"/>
            <w:hideMark/>
          </w:tcPr>
          <w:p w:rsidR="006A6348" w:rsidRPr="006F2F79" w:rsidRDefault="00D353B5" w:rsidP="0051482E">
            <w:pPr>
              <w:jc w:val="right"/>
              <w:rPr>
                <w:b/>
                <w:bCs/>
                <w:color w:val="000000"/>
                <w:sz w:val="18"/>
                <w:szCs w:val="18"/>
              </w:rPr>
            </w:pPr>
            <w:r>
              <w:rPr>
                <w:b/>
                <w:bCs/>
                <w:color w:val="000000"/>
                <w:sz w:val="18"/>
                <w:szCs w:val="18"/>
              </w:rPr>
              <w:t>106.779</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Costi per l’attività di gestione delle tariffe e dei rapporti con gli utenti - </w:t>
            </w:r>
            <w:r w:rsidRPr="006F2F79">
              <w:rPr>
                <w:b/>
                <w:bCs/>
                <w:color w:val="000000"/>
                <w:sz w:val="18"/>
                <w:szCs w:val="18"/>
              </w:rPr>
              <w:t>CARC</w:t>
            </w:r>
          </w:p>
        </w:tc>
        <w:tc>
          <w:tcPr>
            <w:tcW w:w="831" w:type="pct"/>
            <w:shd w:val="clear" w:color="auto" w:fill="auto"/>
            <w:noWrap/>
            <w:vAlign w:val="center"/>
            <w:hideMark/>
          </w:tcPr>
          <w:p w:rsidR="006A6348" w:rsidRPr="006F2F79" w:rsidRDefault="00D353B5" w:rsidP="0051482E">
            <w:pPr>
              <w:jc w:val="right"/>
              <w:rPr>
                <w:b/>
                <w:bCs/>
                <w:color w:val="000000"/>
                <w:sz w:val="18"/>
                <w:szCs w:val="18"/>
              </w:rPr>
            </w:pPr>
            <w:r>
              <w:rPr>
                <w:b/>
                <w:bCs/>
                <w:color w:val="000000"/>
                <w:sz w:val="18"/>
                <w:szCs w:val="18"/>
              </w:rPr>
              <w:t>2.040</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Costi generali di gestione - </w:t>
            </w:r>
            <w:r w:rsidRPr="006F2F79">
              <w:rPr>
                <w:b/>
                <w:bCs/>
                <w:sz w:val="18"/>
                <w:szCs w:val="18"/>
              </w:rPr>
              <w:t>CGG</w:t>
            </w:r>
          </w:p>
        </w:tc>
        <w:tc>
          <w:tcPr>
            <w:tcW w:w="831" w:type="pct"/>
            <w:shd w:val="clear" w:color="auto" w:fill="auto"/>
            <w:noWrap/>
            <w:vAlign w:val="center"/>
            <w:hideMark/>
          </w:tcPr>
          <w:p w:rsidR="006A6348" w:rsidRPr="006F2F79" w:rsidRDefault="00D353B5" w:rsidP="0051482E">
            <w:pPr>
              <w:jc w:val="right"/>
              <w:rPr>
                <w:b/>
                <w:bCs/>
                <w:color w:val="000000"/>
                <w:sz w:val="18"/>
                <w:szCs w:val="18"/>
              </w:rPr>
            </w:pPr>
            <w:r>
              <w:rPr>
                <w:b/>
                <w:bCs/>
                <w:color w:val="000000"/>
                <w:sz w:val="18"/>
                <w:szCs w:val="18"/>
              </w:rPr>
              <w:t>52.610</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Costi relativi alla quota di crediti inesigibili - </w:t>
            </w:r>
            <w:r w:rsidRPr="006F2F79">
              <w:rPr>
                <w:b/>
                <w:bCs/>
                <w:sz w:val="18"/>
                <w:szCs w:val="18"/>
              </w:rPr>
              <w:t>CCD</w:t>
            </w:r>
          </w:p>
        </w:tc>
        <w:tc>
          <w:tcPr>
            <w:tcW w:w="831" w:type="pct"/>
            <w:shd w:val="clear" w:color="auto" w:fill="auto"/>
            <w:noWrap/>
            <w:vAlign w:val="center"/>
            <w:hideMark/>
          </w:tcPr>
          <w:p w:rsidR="006A6348" w:rsidRPr="005E2773" w:rsidRDefault="00D353B5" w:rsidP="0051482E">
            <w:pPr>
              <w:jc w:val="right"/>
              <w:rPr>
                <w:b/>
                <w:bCs/>
                <w:color w:val="000000"/>
                <w:sz w:val="18"/>
                <w:szCs w:val="18"/>
              </w:rPr>
            </w:pPr>
            <w:r>
              <w:rPr>
                <w:b/>
                <w:bCs/>
                <w:color w:val="000000"/>
                <w:sz w:val="18"/>
                <w:szCs w:val="18"/>
              </w:rPr>
              <w:t>0</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Altri costi - </w:t>
            </w:r>
            <w:r w:rsidRPr="006F2F79">
              <w:rPr>
                <w:b/>
                <w:bCs/>
                <w:color w:val="000000"/>
                <w:sz w:val="18"/>
                <w:szCs w:val="18"/>
              </w:rPr>
              <w:t>COal</w:t>
            </w:r>
          </w:p>
        </w:tc>
        <w:tc>
          <w:tcPr>
            <w:tcW w:w="831" w:type="pct"/>
            <w:shd w:val="clear" w:color="auto" w:fill="auto"/>
            <w:noWrap/>
            <w:vAlign w:val="center"/>
            <w:hideMark/>
          </w:tcPr>
          <w:p w:rsidR="006A6348" w:rsidRPr="006F2F79" w:rsidRDefault="00D353B5" w:rsidP="0051482E">
            <w:pPr>
              <w:jc w:val="right"/>
              <w:rPr>
                <w:b/>
                <w:bCs/>
                <w:color w:val="000000"/>
                <w:sz w:val="18"/>
                <w:szCs w:val="18"/>
              </w:rPr>
            </w:pPr>
            <w:r>
              <w:rPr>
                <w:b/>
                <w:bCs/>
                <w:color w:val="000000"/>
                <w:sz w:val="18"/>
                <w:szCs w:val="18"/>
              </w:rPr>
              <w:t>859</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Ammortamenti - </w:t>
            </w:r>
            <w:r w:rsidRPr="006F2F79">
              <w:rPr>
                <w:b/>
                <w:bCs/>
                <w:color w:val="000000"/>
                <w:sz w:val="18"/>
                <w:szCs w:val="18"/>
              </w:rPr>
              <w:t>Amm</w:t>
            </w:r>
          </w:p>
        </w:tc>
        <w:tc>
          <w:tcPr>
            <w:tcW w:w="831" w:type="pct"/>
            <w:shd w:val="clear" w:color="auto" w:fill="auto"/>
            <w:noWrap/>
            <w:vAlign w:val="center"/>
            <w:hideMark/>
          </w:tcPr>
          <w:p w:rsidR="006A6348" w:rsidRPr="005E2773" w:rsidRDefault="00D353B5" w:rsidP="0051482E">
            <w:pPr>
              <w:jc w:val="right"/>
              <w:rPr>
                <w:b/>
                <w:bCs/>
                <w:color w:val="000000"/>
                <w:sz w:val="18"/>
                <w:szCs w:val="18"/>
              </w:rPr>
            </w:pPr>
            <w:r>
              <w:rPr>
                <w:b/>
                <w:bCs/>
                <w:color w:val="000000"/>
                <w:sz w:val="18"/>
                <w:szCs w:val="18"/>
              </w:rPr>
              <w:t>0</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jc w:val="left"/>
              <w:rPr>
                <w:color w:val="000000"/>
                <w:sz w:val="18"/>
                <w:szCs w:val="18"/>
              </w:rPr>
            </w:pPr>
            <w:r w:rsidRPr="006F2F79">
              <w:rPr>
                <w:color w:val="000000"/>
                <w:sz w:val="18"/>
                <w:szCs w:val="18"/>
              </w:rPr>
              <w:t xml:space="preserve">Accantonamenti - </w:t>
            </w:r>
            <w:r w:rsidRPr="006F2F79">
              <w:rPr>
                <w:b/>
                <w:bCs/>
                <w:color w:val="000000"/>
                <w:sz w:val="18"/>
                <w:szCs w:val="18"/>
              </w:rPr>
              <w:t>Acc</w:t>
            </w:r>
          </w:p>
        </w:tc>
        <w:tc>
          <w:tcPr>
            <w:tcW w:w="831" w:type="pct"/>
            <w:shd w:val="clear" w:color="auto" w:fill="auto"/>
            <w:noWrap/>
            <w:vAlign w:val="center"/>
            <w:hideMark/>
          </w:tcPr>
          <w:p w:rsidR="006A6348" w:rsidRPr="005E2773" w:rsidRDefault="00D353B5" w:rsidP="0051482E">
            <w:pPr>
              <w:jc w:val="right"/>
              <w:rPr>
                <w:b/>
                <w:bCs/>
                <w:color w:val="000000"/>
                <w:sz w:val="18"/>
                <w:szCs w:val="18"/>
              </w:rPr>
            </w:pPr>
            <w:r>
              <w:rPr>
                <w:b/>
                <w:bCs/>
                <w:color w:val="000000"/>
                <w:sz w:val="18"/>
                <w:szCs w:val="18"/>
              </w:rPr>
              <w:t>14.344</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color w:val="000000"/>
                <w:sz w:val="18"/>
                <w:szCs w:val="18"/>
              </w:rPr>
            </w:pPr>
            <w:r w:rsidRPr="006F2F79">
              <w:rPr>
                <w:color w:val="000000"/>
                <w:sz w:val="18"/>
                <w:szCs w:val="18"/>
              </w:rPr>
              <w:t xml:space="preserve">Remunerazione del capitale investito netto </w:t>
            </w:r>
            <w:r>
              <w:rPr>
                <w:color w:val="000000"/>
                <w:sz w:val="18"/>
                <w:szCs w:val="18"/>
              </w:rPr>
              <w:t>–</w:t>
            </w:r>
            <w:r w:rsidRPr="006F2F79">
              <w:rPr>
                <w:b/>
                <w:bCs/>
                <w:color w:val="000000"/>
                <w:sz w:val="18"/>
                <w:szCs w:val="18"/>
              </w:rPr>
              <w:t xml:space="preserve"> R</w:t>
            </w:r>
          </w:p>
        </w:tc>
        <w:tc>
          <w:tcPr>
            <w:tcW w:w="831" w:type="pct"/>
            <w:shd w:val="clear" w:color="auto" w:fill="auto"/>
            <w:noWrap/>
            <w:vAlign w:val="center"/>
            <w:hideMark/>
          </w:tcPr>
          <w:p w:rsidR="006A6348" w:rsidRPr="005E2773" w:rsidRDefault="00D353B5" w:rsidP="0051482E">
            <w:pPr>
              <w:jc w:val="right"/>
              <w:rPr>
                <w:b/>
                <w:bCs/>
                <w:color w:val="000000"/>
                <w:sz w:val="18"/>
                <w:szCs w:val="18"/>
              </w:rPr>
            </w:pPr>
            <w:r>
              <w:rPr>
                <w:b/>
                <w:bCs/>
                <w:color w:val="000000"/>
                <w:sz w:val="18"/>
                <w:szCs w:val="18"/>
              </w:rPr>
              <w:t>0</w:t>
            </w:r>
          </w:p>
        </w:tc>
      </w:tr>
      <w:tr w:rsidR="006A6348" w:rsidRPr="006F2F79" w:rsidTr="00317970">
        <w:trPr>
          <w:trHeight w:val="227"/>
        </w:trPr>
        <w:tc>
          <w:tcPr>
            <w:tcW w:w="4169" w:type="pct"/>
            <w:shd w:val="clear" w:color="auto" w:fill="auto"/>
            <w:noWrap/>
            <w:vAlign w:val="center"/>
            <w:hideMark/>
          </w:tcPr>
          <w:p w:rsidR="006A6348" w:rsidRPr="006F2F79" w:rsidRDefault="006A6348" w:rsidP="0051482E">
            <w:pPr>
              <w:rPr>
                <w:sz w:val="18"/>
                <w:szCs w:val="18"/>
              </w:rPr>
            </w:pPr>
            <w:r w:rsidRPr="006F2F79">
              <w:rPr>
                <w:color w:val="000000"/>
                <w:sz w:val="18"/>
                <w:szCs w:val="18"/>
              </w:rPr>
              <w:t xml:space="preserve">Remunerazione delle immobilizzazioni in corso - </w:t>
            </w:r>
            <w:r w:rsidRPr="006F2F79">
              <w:rPr>
                <w:b/>
                <w:bCs/>
                <w:color w:val="000000"/>
                <w:sz w:val="18"/>
                <w:szCs w:val="18"/>
              </w:rPr>
              <w:t>R</w:t>
            </w:r>
            <w:r w:rsidRPr="006F2F79">
              <w:rPr>
                <w:b/>
                <w:bCs/>
                <w:color w:val="000000"/>
                <w:sz w:val="18"/>
                <w:szCs w:val="18"/>
                <w:vertAlign w:val="subscript"/>
              </w:rPr>
              <w:t>lic</w:t>
            </w:r>
          </w:p>
        </w:tc>
        <w:tc>
          <w:tcPr>
            <w:tcW w:w="831" w:type="pct"/>
            <w:shd w:val="clear" w:color="auto" w:fill="auto"/>
            <w:noWrap/>
            <w:vAlign w:val="center"/>
            <w:hideMark/>
          </w:tcPr>
          <w:p w:rsidR="006A6348" w:rsidRPr="005E2773" w:rsidRDefault="00D353B5" w:rsidP="0051482E">
            <w:pPr>
              <w:jc w:val="right"/>
              <w:rPr>
                <w:b/>
                <w:bCs/>
                <w:color w:val="000000"/>
                <w:sz w:val="18"/>
                <w:szCs w:val="18"/>
              </w:rPr>
            </w:pPr>
            <w:r>
              <w:rPr>
                <w:b/>
                <w:bCs/>
                <w:color w:val="000000"/>
                <w:sz w:val="18"/>
                <w:szCs w:val="18"/>
              </w:rPr>
              <w:t>0</w:t>
            </w:r>
          </w:p>
        </w:tc>
      </w:tr>
      <w:tr w:rsidR="006A6348" w:rsidRPr="006F2F79" w:rsidTr="00317970">
        <w:trPr>
          <w:trHeight w:val="227"/>
        </w:trPr>
        <w:tc>
          <w:tcPr>
            <w:tcW w:w="4169" w:type="pct"/>
            <w:shd w:val="clear" w:color="auto" w:fill="auto"/>
            <w:noWrap/>
            <w:vAlign w:val="center"/>
          </w:tcPr>
          <w:p w:rsidR="006A6348" w:rsidRPr="006F2F79" w:rsidRDefault="006A6348" w:rsidP="0051482E">
            <w:pPr>
              <w:rPr>
                <w:color w:val="000000"/>
                <w:sz w:val="18"/>
                <w:szCs w:val="18"/>
              </w:rPr>
            </w:pPr>
            <w:r>
              <w:rPr>
                <w:sz w:val="18"/>
                <w:szCs w:val="18"/>
              </w:rPr>
              <w:t>Oneri relativi all’IVA</w:t>
            </w:r>
          </w:p>
        </w:tc>
        <w:tc>
          <w:tcPr>
            <w:tcW w:w="831" w:type="pct"/>
            <w:shd w:val="clear" w:color="auto" w:fill="auto"/>
            <w:noWrap/>
            <w:vAlign w:val="center"/>
          </w:tcPr>
          <w:p w:rsidR="006A6348" w:rsidRPr="005E2773" w:rsidRDefault="00D353B5" w:rsidP="0051482E">
            <w:pPr>
              <w:jc w:val="right"/>
              <w:rPr>
                <w:b/>
                <w:bCs/>
                <w:color w:val="000000"/>
                <w:sz w:val="18"/>
                <w:szCs w:val="18"/>
              </w:rPr>
            </w:pPr>
            <w:r>
              <w:rPr>
                <w:b/>
                <w:bCs/>
                <w:color w:val="000000"/>
                <w:sz w:val="18"/>
                <w:szCs w:val="18"/>
              </w:rPr>
              <w:t>0</w:t>
            </w:r>
          </w:p>
        </w:tc>
      </w:tr>
    </w:tbl>
    <w:p w:rsidR="00A827AE" w:rsidRPr="00237B38" w:rsidRDefault="00A827AE" w:rsidP="00237B38">
      <w:pPr>
        <w:rPr>
          <w:rFonts w:cstheme="minorHAnsi"/>
        </w:rPr>
      </w:pPr>
    </w:p>
    <w:p w:rsidR="00B524CE" w:rsidRPr="007775C6" w:rsidRDefault="00F05553" w:rsidP="00B524CE">
      <w:pPr>
        <w:pStyle w:val="Titolo4"/>
        <w:numPr>
          <w:ilvl w:val="0"/>
          <w:numId w:val="0"/>
        </w:numPr>
      </w:pPr>
      <w:bookmarkStart w:id="33" w:name="_Toc75194850"/>
      <w:r>
        <w:t xml:space="preserve">3.2.1.2 </w:t>
      </w:r>
      <w:bookmarkStart w:id="34" w:name="_Toc57386111"/>
      <w:bookmarkStart w:id="35" w:name="_Toc59462887"/>
      <w:r w:rsidR="00B524CE" w:rsidRPr="007775C6">
        <w:t>Costi operativi comuni CC2020</w:t>
      </w:r>
      <w:bookmarkEnd w:id="33"/>
      <w:bookmarkEnd w:id="34"/>
      <w:bookmarkEnd w:id="35"/>
    </w:p>
    <w:p w:rsidR="00961307" w:rsidRDefault="00961307" w:rsidP="00961307">
      <w:r w:rsidRPr="004A0BB2">
        <w:t xml:space="preserve">I costi operativi comuni </w:t>
      </w:r>
      <w:r w:rsidRPr="004A0BB2">
        <w:rPr>
          <w:i/>
          <w:iCs/>
        </w:rPr>
        <w:t>CC</w:t>
      </w:r>
      <w:r w:rsidRPr="004A0BB2">
        <w:rPr>
          <w:i/>
          <w:iCs/>
          <w:vertAlign w:val="subscript"/>
        </w:rPr>
        <w:t>202</w:t>
      </w:r>
      <w:r>
        <w:rPr>
          <w:i/>
          <w:iCs/>
          <w:vertAlign w:val="subscript"/>
        </w:rPr>
        <w:t>1</w:t>
      </w:r>
      <w:r w:rsidRPr="004A0BB2">
        <w:t xml:space="preserve">, ammessi al riconoscimento tariffario nel </w:t>
      </w:r>
      <w:r>
        <w:t>Piano Economico Finanziario 2021, per il mantenimento del limite di crescita tariffaria, sono i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09"/>
        <w:gridCol w:w="2069"/>
      </w:tblGrid>
      <w:tr w:rsidR="00961307" w:rsidRPr="0082268A" w:rsidTr="00B14BA6">
        <w:trPr>
          <w:trHeight w:val="437"/>
        </w:trPr>
        <w:tc>
          <w:tcPr>
            <w:tcW w:w="3942" w:type="pct"/>
            <w:shd w:val="clear" w:color="auto" w:fill="A8D08D" w:themeFill="accent6" w:themeFillTint="99"/>
            <w:noWrap/>
            <w:vAlign w:val="center"/>
            <w:hideMark/>
          </w:tcPr>
          <w:p w:rsidR="00961307" w:rsidRPr="0082268A" w:rsidRDefault="00961307" w:rsidP="00B14BA6">
            <w:pPr>
              <w:jc w:val="center"/>
              <w:rPr>
                <w:b/>
                <w:bCs/>
                <w:color w:val="000000"/>
                <w:sz w:val="18"/>
                <w:szCs w:val="18"/>
              </w:rPr>
            </w:pPr>
            <w:r w:rsidRPr="0082268A">
              <w:rPr>
                <w:b/>
                <w:bCs/>
                <w:color w:val="000000"/>
                <w:sz w:val="18"/>
                <w:szCs w:val="18"/>
              </w:rPr>
              <w:t>COMUNE D</w:t>
            </w:r>
            <w:r>
              <w:rPr>
                <w:b/>
                <w:bCs/>
                <w:color w:val="000000"/>
                <w:sz w:val="18"/>
                <w:szCs w:val="18"/>
              </w:rPr>
              <w:t xml:space="preserve">I </w:t>
            </w:r>
            <w:r w:rsidR="00AB7457">
              <w:rPr>
                <w:b/>
                <w:bCs/>
                <w:color w:val="000000"/>
                <w:sz w:val="18"/>
                <w:szCs w:val="18"/>
              </w:rPr>
              <w:t>SAN PIETRO IN GUARANO</w:t>
            </w:r>
            <w:r w:rsidRPr="0082268A">
              <w:rPr>
                <w:b/>
                <w:bCs/>
                <w:color w:val="000000"/>
                <w:sz w:val="18"/>
                <w:szCs w:val="18"/>
              </w:rPr>
              <w:t xml:space="preserve">– VALORI </w:t>
            </w:r>
            <w:r>
              <w:rPr>
                <w:b/>
                <w:bCs/>
                <w:color w:val="000000"/>
                <w:sz w:val="18"/>
                <w:szCs w:val="18"/>
              </w:rPr>
              <w:t>AMMESSI</w:t>
            </w:r>
          </w:p>
        </w:tc>
        <w:tc>
          <w:tcPr>
            <w:tcW w:w="1058" w:type="pct"/>
            <w:shd w:val="clear" w:color="auto" w:fill="A8D08D" w:themeFill="accent6" w:themeFillTint="99"/>
            <w:vAlign w:val="center"/>
            <w:hideMark/>
          </w:tcPr>
          <w:p w:rsidR="00961307" w:rsidRPr="0082268A" w:rsidRDefault="00961307" w:rsidP="00B14BA6">
            <w:pPr>
              <w:jc w:val="center"/>
              <w:rPr>
                <w:b/>
                <w:bCs/>
                <w:color w:val="000000"/>
                <w:sz w:val="18"/>
                <w:szCs w:val="18"/>
              </w:rPr>
            </w:pPr>
            <w:r>
              <w:rPr>
                <w:b/>
                <w:bCs/>
                <w:color w:val="000000"/>
                <w:sz w:val="18"/>
                <w:szCs w:val="18"/>
              </w:rPr>
              <w:t>2021</w:t>
            </w:r>
          </w:p>
        </w:tc>
      </w:tr>
      <w:tr w:rsidR="00961307" w:rsidRPr="0082268A" w:rsidTr="00B25546">
        <w:trPr>
          <w:trHeight w:val="315"/>
        </w:trPr>
        <w:tc>
          <w:tcPr>
            <w:tcW w:w="3942" w:type="pct"/>
            <w:shd w:val="clear" w:color="000000" w:fill="FFFFFF"/>
            <w:noWrap/>
            <w:vAlign w:val="center"/>
            <w:hideMark/>
          </w:tcPr>
          <w:p w:rsidR="00961307" w:rsidRPr="0082268A" w:rsidRDefault="00961307" w:rsidP="00B14BA6">
            <w:pPr>
              <w:rPr>
                <w:color w:val="000000"/>
                <w:sz w:val="18"/>
                <w:szCs w:val="18"/>
              </w:rPr>
            </w:pPr>
            <w:r w:rsidRPr="0082268A">
              <w:rPr>
                <w:color w:val="000000"/>
                <w:sz w:val="18"/>
                <w:szCs w:val="18"/>
              </w:rPr>
              <w:t xml:space="preserve">Costi per l’attività di gestione delle tariffe e dei rapporti con gli utenti - </w:t>
            </w:r>
            <w:r w:rsidRPr="0082268A">
              <w:rPr>
                <w:b/>
                <w:bCs/>
                <w:color w:val="000000"/>
                <w:sz w:val="18"/>
                <w:szCs w:val="18"/>
              </w:rPr>
              <w:t>CARC</w:t>
            </w:r>
          </w:p>
        </w:tc>
        <w:tc>
          <w:tcPr>
            <w:tcW w:w="1058" w:type="pct"/>
            <w:shd w:val="clear" w:color="auto" w:fill="auto"/>
            <w:noWrap/>
            <w:vAlign w:val="center"/>
            <w:hideMark/>
          </w:tcPr>
          <w:p w:rsidR="00961307" w:rsidRPr="00D4785A" w:rsidRDefault="00961307" w:rsidP="00B25546">
            <w:pPr>
              <w:jc w:val="right"/>
              <w:rPr>
                <w:sz w:val="18"/>
                <w:szCs w:val="18"/>
              </w:rPr>
            </w:pPr>
            <w:r>
              <w:rPr>
                <w:sz w:val="18"/>
                <w:szCs w:val="18"/>
              </w:rPr>
              <w:t>2.040</w:t>
            </w:r>
          </w:p>
        </w:tc>
      </w:tr>
      <w:tr w:rsidR="00961307" w:rsidRPr="0082268A" w:rsidTr="00B25546">
        <w:trPr>
          <w:trHeight w:val="315"/>
        </w:trPr>
        <w:tc>
          <w:tcPr>
            <w:tcW w:w="3942" w:type="pct"/>
            <w:shd w:val="clear" w:color="auto" w:fill="auto"/>
            <w:noWrap/>
            <w:vAlign w:val="center"/>
            <w:hideMark/>
          </w:tcPr>
          <w:p w:rsidR="00961307" w:rsidRPr="0082268A" w:rsidRDefault="00961307" w:rsidP="00B14BA6">
            <w:pPr>
              <w:rPr>
                <w:color w:val="000000"/>
                <w:sz w:val="18"/>
                <w:szCs w:val="18"/>
              </w:rPr>
            </w:pPr>
            <w:r w:rsidRPr="0082268A">
              <w:rPr>
                <w:color w:val="000000"/>
                <w:sz w:val="18"/>
                <w:szCs w:val="18"/>
              </w:rPr>
              <w:t xml:space="preserve">Costi generali di gestione </w:t>
            </w:r>
            <w:r>
              <w:rPr>
                <w:color w:val="000000"/>
                <w:sz w:val="18"/>
                <w:szCs w:val="18"/>
              </w:rPr>
              <w:t>–</w:t>
            </w:r>
            <w:r w:rsidRPr="0082268A">
              <w:rPr>
                <w:b/>
                <w:bCs/>
                <w:sz w:val="18"/>
                <w:szCs w:val="18"/>
              </w:rPr>
              <w:t>CGG</w:t>
            </w:r>
          </w:p>
        </w:tc>
        <w:tc>
          <w:tcPr>
            <w:tcW w:w="1058" w:type="pct"/>
            <w:shd w:val="clear" w:color="auto" w:fill="auto"/>
            <w:noWrap/>
            <w:vAlign w:val="center"/>
            <w:hideMark/>
          </w:tcPr>
          <w:p w:rsidR="00961307" w:rsidRPr="00D4785A" w:rsidRDefault="00961307" w:rsidP="00B25546">
            <w:pPr>
              <w:jc w:val="right"/>
              <w:rPr>
                <w:color w:val="000000"/>
                <w:sz w:val="18"/>
                <w:szCs w:val="18"/>
              </w:rPr>
            </w:pPr>
            <w:r>
              <w:rPr>
                <w:color w:val="000000"/>
                <w:sz w:val="18"/>
                <w:szCs w:val="18"/>
              </w:rPr>
              <w:t>52.610</w:t>
            </w:r>
          </w:p>
        </w:tc>
      </w:tr>
      <w:tr w:rsidR="00961307" w:rsidRPr="0082268A" w:rsidTr="00B25546">
        <w:trPr>
          <w:trHeight w:val="315"/>
        </w:trPr>
        <w:tc>
          <w:tcPr>
            <w:tcW w:w="3942" w:type="pct"/>
            <w:shd w:val="clear" w:color="auto" w:fill="auto"/>
            <w:noWrap/>
            <w:vAlign w:val="center"/>
            <w:hideMark/>
          </w:tcPr>
          <w:p w:rsidR="00961307" w:rsidRPr="0082268A" w:rsidRDefault="00961307" w:rsidP="00B14BA6">
            <w:pPr>
              <w:rPr>
                <w:color w:val="000000"/>
                <w:sz w:val="18"/>
                <w:szCs w:val="18"/>
              </w:rPr>
            </w:pPr>
            <w:r w:rsidRPr="0082268A">
              <w:rPr>
                <w:color w:val="000000"/>
                <w:sz w:val="18"/>
                <w:szCs w:val="18"/>
              </w:rPr>
              <w:t xml:space="preserve">Costi relativi alla quota di crediti inesigibili - </w:t>
            </w:r>
            <w:r w:rsidRPr="0082268A">
              <w:rPr>
                <w:b/>
                <w:bCs/>
                <w:sz w:val="18"/>
                <w:szCs w:val="18"/>
              </w:rPr>
              <w:t>CCD</w:t>
            </w:r>
          </w:p>
        </w:tc>
        <w:tc>
          <w:tcPr>
            <w:tcW w:w="1058" w:type="pct"/>
            <w:shd w:val="clear" w:color="auto" w:fill="auto"/>
            <w:noWrap/>
            <w:vAlign w:val="center"/>
            <w:hideMark/>
          </w:tcPr>
          <w:p w:rsidR="00961307" w:rsidRPr="00907F58" w:rsidRDefault="00961307" w:rsidP="00B25546">
            <w:pPr>
              <w:jc w:val="right"/>
              <w:rPr>
                <w:color w:val="000000"/>
                <w:sz w:val="18"/>
                <w:szCs w:val="18"/>
              </w:rPr>
            </w:pPr>
            <w:r>
              <w:rPr>
                <w:color w:val="000000"/>
                <w:sz w:val="18"/>
                <w:szCs w:val="18"/>
              </w:rPr>
              <w:t>0</w:t>
            </w:r>
          </w:p>
        </w:tc>
      </w:tr>
      <w:tr w:rsidR="00961307" w:rsidRPr="0082268A" w:rsidTr="00B25546">
        <w:trPr>
          <w:trHeight w:val="315"/>
        </w:trPr>
        <w:tc>
          <w:tcPr>
            <w:tcW w:w="3942" w:type="pct"/>
            <w:shd w:val="clear" w:color="auto" w:fill="auto"/>
            <w:noWrap/>
            <w:vAlign w:val="center"/>
            <w:hideMark/>
          </w:tcPr>
          <w:p w:rsidR="00961307" w:rsidRPr="0082268A" w:rsidRDefault="00961307" w:rsidP="00B14BA6">
            <w:pPr>
              <w:rPr>
                <w:color w:val="000000"/>
                <w:sz w:val="18"/>
                <w:szCs w:val="18"/>
              </w:rPr>
            </w:pPr>
            <w:r w:rsidRPr="0082268A">
              <w:rPr>
                <w:color w:val="000000"/>
                <w:sz w:val="18"/>
                <w:szCs w:val="18"/>
              </w:rPr>
              <w:t xml:space="preserve">Altri costi - </w:t>
            </w:r>
            <w:r w:rsidRPr="0082268A">
              <w:rPr>
                <w:b/>
                <w:bCs/>
                <w:color w:val="000000"/>
                <w:sz w:val="18"/>
                <w:szCs w:val="18"/>
              </w:rPr>
              <w:t>COal</w:t>
            </w:r>
          </w:p>
        </w:tc>
        <w:tc>
          <w:tcPr>
            <w:tcW w:w="1058" w:type="pct"/>
            <w:shd w:val="clear" w:color="auto" w:fill="auto"/>
            <w:noWrap/>
            <w:vAlign w:val="center"/>
            <w:hideMark/>
          </w:tcPr>
          <w:p w:rsidR="00961307" w:rsidRPr="00907F58" w:rsidRDefault="00961307" w:rsidP="00B25546">
            <w:pPr>
              <w:jc w:val="right"/>
              <w:rPr>
                <w:color w:val="000000"/>
                <w:sz w:val="18"/>
                <w:szCs w:val="18"/>
              </w:rPr>
            </w:pPr>
            <w:r>
              <w:rPr>
                <w:color w:val="000000"/>
                <w:sz w:val="18"/>
                <w:szCs w:val="18"/>
              </w:rPr>
              <w:t>859</w:t>
            </w:r>
          </w:p>
        </w:tc>
      </w:tr>
    </w:tbl>
    <w:p w:rsidR="00B524CE" w:rsidRPr="00AB14FC" w:rsidRDefault="00B524CE" w:rsidP="00B524CE">
      <w:pPr>
        <w:pStyle w:val="Titolo4"/>
        <w:numPr>
          <w:ilvl w:val="0"/>
          <w:numId w:val="0"/>
        </w:numPr>
        <w:spacing w:after="0"/>
        <w:ind w:left="2552"/>
        <w:rPr>
          <w:sz w:val="10"/>
          <w:szCs w:val="10"/>
        </w:rPr>
      </w:pPr>
    </w:p>
    <w:p w:rsidR="002A7383" w:rsidRDefault="002A7383" w:rsidP="00B3716D">
      <w:pPr>
        <w:rPr>
          <w:lang w:eastAsia="en-GB"/>
        </w:rPr>
      </w:pPr>
    </w:p>
    <w:p w:rsidR="00B25546" w:rsidRDefault="00B25546" w:rsidP="00B3716D">
      <w:pPr>
        <w:rPr>
          <w:lang w:eastAsia="en-GB"/>
        </w:rPr>
      </w:pPr>
    </w:p>
    <w:p w:rsidR="00B25546" w:rsidRDefault="00B25546" w:rsidP="00B3716D">
      <w:pPr>
        <w:rPr>
          <w:lang w:eastAsia="en-GB"/>
        </w:rPr>
      </w:pPr>
    </w:p>
    <w:p w:rsidR="00B25546" w:rsidRDefault="00B25546" w:rsidP="00B3716D">
      <w:pPr>
        <w:rPr>
          <w:lang w:eastAsia="en-GB"/>
        </w:rPr>
      </w:pPr>
    </w:p>
    <w:p w:rsidR="00B25546" w:rsidRDefault="00B25546" w:rsidP="00B3716D">
      <w:pPr>
        <w:rPr>
          <w:lang w:eastAsia="en-GB"/>
        </w:rPr>
      </w:pPr>
    </w:p>
    <w:p w:rsidR="00B25546" w:rsidRDefault="00B25546" w:rsidP="00B3716D">
      <w:pPr>
        <w:rPr>
          <w:lang w:eastAsia="en-GB"/>
        </w:rPr>
      </w:pPr>
    </w:p>
    <w:p w:rsidR="00B25546" w:rsidRDefault="00B25546" w:rsidP="00B3716D">
      <w:pPr>
        <w:rPr>
          <w:lang w:eastAsia="en-GB"/>
        </w:rPr>
      </w:pPr>
    </w:p>
    <w:p w:rsidR="003269E7" w:rsidRPr="00F05553" w:rsidRDefault="003269E7" w:rsidP="00F05553">
      <w:pPr>
        <w:pStyle w:val="Titolo4"/>
        <w:numPr>
          <w:ilvl w:val="3"/>
          <w:numId w:val="18"/>
        </w:numPr>
        <w:rPr>
          <w:bCs w:val="0"/>
        </w:rPr>
      </w:pPr>
      <w:bookmarkStart w:id="36" w:name="_Toc75194851"/>
      <w:r w:rsidRPr="00F05553">
        <w:rPr>
          <w:bCs w:val="0"/>
        </w:rPr>
        <w:lastRenderedPageBreak/>
        <w:t>Ulteriori componenti ex deliberazioni 443/2019/R/RIF, 238/2020/R/RIF e 493/2020/R/RIF</w:t>
      </w:r>
      <w:bookmarkEnd w:id="36"/>
    </w:p>
    <w:p w:rsidR="00F05553" w:rsidRDefault="003269E7" w:rsidP="003269E7">
      <w:pPr>
        <w:rPr>
          <w:lang w:eastAsia="en-GB"/>
        </w:rPr>
      </w:pPr>
      <w:r>
        <w:rPr>
          <w:lang w:eastAsia="en-GB"/>
        </w:rPr>
        <w:t xml:space="preserve">In relazione alle ulteriori componenti ex deliberazioni </w:t>
      </w:r>
      <w:r w:rsidRPr="00262D11">
        <w:rPr>
          <w:i/>
          <w:iCs/>
          <w:lang w:eastAsia="en-GB"/>
        </w:rPr>
        <w:t>443/2019/R/RIF</w:t>
      </w:r>
      <w:r>
        <w:rPr>
          <w:i/>
          <w:iCs/>
          <w:lang w:eastAsia="en-GB"/>
        </w:rPr>
        <w:t>, 238</w:t>
      </w:r>
      <w:r w:rsidRPr="00262D11">
        <w:rPr>
          <w:i/>
          <w:iCs/>
          <w:lang w:eastAsia="en-GB"/>
        </w:rPr>
        <w:t>/20</w:t>
      </w:r>
      <w:r>
        <w:rPr>
          <w:i/>
          <w:iCs/>
          <w:lang w:eastAsia="en-GB"/>
        </w:rPr>
        <w:t>20</w:t>
      </w:r>
      <w:r w:rsidRPr="00262D11">
        <w:rPr>
          <w:i/>
          <w:iCs/>
          <w:lang w:eastAsia="en-GB"/>
        </w:rPr>
        <w:t>/R/RIF</w:t>
      </w:r>
      <w:r>
        <w:rPr>
          <w:i/>
          <w:iCs/>
          <w:lang w:eastAsia="en-GB"/>
        </w:rPr>
        <w:t xml:space="preserve"> e </w:t>
      </w:r>
      <w:r w:rsidRPr="00262D11">
        <w:rPr>
          <w:i/>
          <w:iCs/>
          <w:lang w:eastAsia="en-GB"/>
        </w:rPr>
        <w:t>4</w:t>
      </w:r>
      <w:r>
        <w:rPr>
          <w:i/>
          <w:iCs/>
          <w:lang w:eastAsia="en-GB"/>
        </w:rPr>
        <w:t>9</w:t>
      </w:r>
      <w:r w:rsidRPr="00262D11">
        <w:rPr>
          <w:i/>
          <w:iCs/>
          <w:lang w:eastAsia="en-GB"/>
        </w:rPr>
        <w:t>3/20</w:t>
      </w:r>
      <w:r>
        <w:rPr>
          <w:i/>
          <w:iCs/>
          <w:lang w:eastAsia="en-GB"/>
        </w:rPr>
        <w:t>20</w:t>
      </w:r>
      <w:r w:rsidRPr="00262D11">
        <w:rPr>
          <w:i/>
          <w:iCs/>
          <w:lang w:eastAsia="en-GB"/>
        </w:rPr>
        <w:t>/R/RIF</w:t>
      </w:r>
      <w:r>
        <w:rPr>
          <w:lang w:eastAsia="en-GB"/>
        </w:rPr>
        <w:t xml:space="preserve"> si precisa che:</w:t>
      </w:r>
    </w:p>
    <w:p w:rsidR="003E17E3" w:rsidRDefault="006B6666" w:rsidP="003E17E3">
      <w:pPr>
        <w:pStyle w:val="Default"/>
        <w:numPr>
          <w:ilvl w:val="0"/>
          <w:numId w:val="6"/>
        </w:numPr>
        <w:jc w:val="both"/>
      </w:pPr>
      <w:r>
        <w:t>Non s</w:t>
      </w:r>
      <w:r w:rsidR="003269E7">
        <w:t>ono presenti q</w:t>
      </w:r>
      <w:r w:rsidR="003269E7" w:rsidRPr="007D7AB8">
        <w:t>uot</w:t>
      </w:r>
      <w:r w:rsidR="003269E7">
        <w:t>e</w:t>
      </w:r>
      <w:r w:rsidR="003269E7" w:rsidRPr="007D7AB8">
        <w:t xml:space="preserve"> (relativa ai costi variabili</w:t>
      </w:r>
      <w:r w:rsidR="003269E7">
        <w:t xml:space="preserve"> ed ai costi fissi</w:t>
      </w:r>
      <w:r w:rsidR="003269E7" w:rsidRPr="007D7AB8">
        <w:t>) dei conguagli residui afferenti alle determinazioni tariffarie del 2020, da recuperare nel 2021</w:t>
      </w:r>
      <w:r w:rsidR="005F0C84">
        <w:t>:</w:t>
      </w:r>
    </w:p>
    <w:p w:rsidR="003269E7" w:rsidRPr="00F77642" w:rsidRDefault="003269E7" w:rsidP="003B4F56">
      <w:pPr>
        <w:pStyle w:val="Default"/>
        <w:numPr>
          <w:ilvl w:val="0"/>
          <w:numId w:val="6"/>
        </w:numPr>
        <w:rPr>
          <w:lang w:eastAsia="en-GB"/>
        </w:rPr>
      </w:pPr>
      <w:r w:rsidRPr="00F77642">
        <w:t xml:space="preserve">Nel PEF 2020 non è stata valorizzata la componente </w:t>
      </w:r>
      <w:r w:rsidRPr="00F77642">
        <w:rPr>
          <w:b/>
          <w:bCs/>
          <w:i/>
          <w:iCs/>
          <w:sz w:val="18"/>
          <w:szCs w:val="18"/>
        </w:rPr>
        <w:t>RCND</w:t>
      </w:r>
      <w:r w:rsidRPr="00F77642">
        <w:rPr>
          <w:b/>
          <w:bCs/>
          <w:i/>
          <w:iCs/>
          <w:sz w:val="18"/>
          <w:szCs w:val="18"/>
          <w:vertAlign w:val="subscript"/>
        </w:rPr>
        <w:t>TV</w:t>
      </w:r>
      <w:r w:rsidRPr="00F77642">
        <w:rPr>
          <w:b/>
          <w:bCs/>
          <w:i/>
          <w:iCs/>
          <w:sz w:val="18"/>
          <w:szCs w:val="18"/>
        </w:rPr>
        <w:t>;</w:t>
      </w:r>
    </w:p>
    <w:p w:rsidR="005A38C2" w:rsidRPr="00F77642" w:rsidRDefault="003269E7" w:rsidP="005A38C2">
      <w:pPr>
        <w:pStyle w:val="Default"/>
        <w:numPr>
          <w:ilvl w:val="0"/>
          <w:numId w:val="6"/>
        </w:numPr>
        <w:jc w:val="both"/>
      </w:pPr>
      <w:r w:rsidRPr="00F77642">
        <w:t xml:space="preserve">Il PEF 2020 è stato </w:t>
      </w:r>
      <w:r w:rsidR="00ED3B3A" w:rsidRPr="00F77642">
        <w:t>redatto dal Comune d SAN PIETRO IN GUARANO</w:t>
      </w:r>
      <w:r w:rsidR="000D327C" w:rsidRPr="00F77642">
        <w:t xml:space="preserve"> con le stesse modalità del PEF 2021</w:t>
      </w:r>
      <w:r w:rsidR="00521354" w:rsidRPr="00F77642">
        <w:t>, meglio specificate al punto 2.1 della presente relazione</w:t>
      </w:r>
      <w:r w:rsidR="006B6666" w:rsidRPr="00F77642">
        <w:t xml:space="preserve">. </w:t>
      </w:r>
      <w:r w:rsidR="000D327C" w:rsidRPr="00F77642">
        <w:t>Pertanto</w:t>
      </w:r>
      <w:r w:rsidR="00F77642" w:rsidRPr="00F77642">
        <w:t>,</w:t>
      </w:r>
      <w:r w:rsidR="000D327C" w:rsidRPr="00F77642">
        <w:t xml:space="preserve"> non s</w:t>
      </w:r>
      <w:r w:rsidR="005A38C2" w:rsidRPr="00F77642">
        <w:t>ono state determinate le componenti RCU</w:t>
      </w:r>
      <w:r w:rsidR="005A38C2" w:rsidRPr="00F77642">
        <w:rPr>
          <w:vertAlign w:val="subscript"/>
        </w:rPr>
        <w:t xml:space="preserve">TV, </w:t>
      </w:r>
      <w:r w:rsidR="005A38C2" w:rsidRPr="00F77642">
        <w:t>e RCU</w:t>
      </w:r>
      <w:r w:rsidR="005A38C2" w:rsidRPr="00F77642">
        <w:rPr>
          <w:vertAlign w:val="subscript"/>
        </w:rPr>
        <w:t>TF</w:t>
      </w:r>
      <w:r w:rsidR="005A38C2" w:rsidRPr="00F77642">
        <w:t xml:space="preserve"> ossia la quota annuale del conguaglio (recuperabile in tre anni) relativo alla differenza tra i costi variabili e fissi determinati per l’anno 2019 (e sottostanti alle tariffe in deroga applicate sulla base di quanto disposto dall’articolo 107 comma 5 del decreto-legge 18/20) e i costi variabili e fissi risultanti dal PEF per l’anno 2020, approvato entro il 31 dicembre 2020 in applicazione del MTR.</w:t>
      </w:r>
    </w:p>
    <w:p w:rsidR="00587FD5" w:rsidRPr="00F55BF0" w:rsidRDefault="00587FD5" w:rsidP="001D77DF">
      <w:pPr>
        <w:pStyle w:val="commi"/>
        <w:numPr>
          <w:ilvl w:val="0"/>
          <w:numId w:val="0"/>
        </w:numPr>
        <w:spacing w:before="0" w:after="0"/>
      </w:pPr>
    </w:p>
    <w:p w:rsidR="000E629F" w:rsidRPr="000E629F" w:rsidRDefault="00040DB0" w:rsidP="000E629F">
      <w:pPr>
        <w:pStyle w:val="Titolo3"/>
      </w:pPr>
      <w:bookmarkStart w:id="37" w:name="_Toc23425326"/>
      <w:bookmarkStart w:id="38" w:name="_Toc58947187"/>
      <w:bookmarkStart w:id="39" w:name="_Toc59183206"/>
      <w:bookmarkStart w:id="40" w:name="_Toc59210235"/>
      <w:bookmarkStart w:id="41" w:name="_Toc75194852"/>
      <w:r w:rsidRPr="00F10B8B">
        <w:t>Dati relativi ai costi di capitale</w:t>
      </w:r>
      <w:bookmarkEnd w:id="37"/>
      <w:bookmarkEnd w:id="38"/>
      <w:bookmarkEnd w:id="39"/>
      <w:bookmarkEnd w:id="40"/>
      <w:bookmarkEnd w:id="41"/>
    </w:p>
    <w:p w:rsidR="00040DB0" w:rsidRPr="00070750" w:rsidRDefault="00040DB0" w:rsidP="00051D74">
      <w:pPr>
        <w:pStyle w:val="Titolo4"/>
        <w:tabs>
          <w:tab w:val="clear" w:pos="864"/>
          <w:tab w:val="num" w:pos="-142"/>
        </w:tabs>
        <w:ind w:left="0" w:hanging="13"/>
      </w:pPr>
      <w:bookmarkStart w:id="42" w:name="_Toc58947188"/>
      <w:bookmarkStart w:id="43" w:name="_Toc59183207"/>
      <w:bookmarkStart w:id="44" w:name="_Toc75194853"/>
      <w:r w:rsidRPr="00070750">
        <w:t>Determinazione componente Acc202</w:t>
      </w:r>
      <w:r w:rsidR="00F10B8B" w:rsidRPr="00070750">
        <w:t>1</w:t>
      </w:r>
      <w:r w:rsidRPr="00070750">
        <w:t xml:space="preserve"> – componente a copertura degli accantonamenti ammessi al riconoscimento tariffario</w:t>
      </w:r>
      <w:bookmarkEnd w:id="42"/>
      <w:bookmarkEnd w:id="43"/>
      <w:bookmarkEnd w:id="44"/>
    </w:p>
    <w:p w:rsidR="001D77DF" w:rsidRDefault="001D77DF" w:rsidP="001D77DF">
      <w:pPr>
        <w:autoSpaceDE w:val="0"/>
        <w:autoSpaceDN w:val="0"/>
        <w:adjustRightInd w:val="0"/>
      </w:pPr>
      <w:r>
        <w:t>L’art. 14 del MTR riguarda la componente “Accantonamenti ammessi al riconoscimento tariffario”, Acca, comprensivi degli accantonamenti relativi ai crediti di dubbia esigibilità, prevedendo che nel caso di TARI tributo, non possa eccedere il valore massimo pari all’80% di quanto previsto dalle norme sul fondo crediti di dubbia esigibilità di cui al punto 3.3 dell’allegato 4/2 al d.lgs. n. 118/2011.</w:t>
      </w:r>
    </w:p>
    <w:p w:rsidR="001D77DF" w:rsidRDefault="001D77DF" w:rsidP="001D77DF">
      <w:pPr>
        <w:autoSpaceDE w:val="0"/>
        <w:autoSpaceDN w:val="0"/>
        <w:adjustRightInd w:val="0"/>
      </w:pPr>
      <w:r>
        <w:t>Pertanto, si è fatto riferimento al valore relativo all’anno 2019, desunto dal conto consuntivo riproporzionato alla soglia del 100%, riferito alla differenza tra l’anno 2019 e l’anno 2018 (anch’esso riproporzionato al 100%).</w:t>
      </w:r>
    </w:p>
    <w:tbl>
      <w:tblPr>
        <w:tblW w:w="5003" w:type="pct"/>
        <w:tblLayout w:type="fixed"/>
        <w:tblCellMar>
          <w:left w:w="70" w:type="dxa"/>
          <w:right w:w="70" w:type="dxa"/>
        </w:tblCellMar>
        <w:tblLook w:val="04A0"/>
      </w:tblPr>
      <w:tblGrid>
        <w:gridCol w:w="3381"/>
        <w:gridCol w:w="3381"/>
        <w:gridCol w:w="1511"/>
        <w:gridCol w:w="1511"/>
      </w:tblGrid>
      <w:tr w:rsidR="001D77DF" w:rsidRPr="00AF435C" w:rsidTr="0051482E">
        <w:trPr>
          <w:trHeight w:val="485"/>
        </w:trPr>
        <w:tc>
          <w:tcPr>
            <w:tcW w:w="5000" w:type="pct"/>
            <w:gridSpan w:val="4"/>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1D77DF" w:rsidRPr="00AF435C" w:rsidRDefault="001D77DF" w:rsidP="0051482E">
            <w:pPr>
              <w:jc w:val="center"/>
              <w:rPr>
                <w:b/>
                <w:bCs/>
                <w:color w:val="000000"/>
                <w:sz w:val="18"/>
                <w:szCs w:val="18"/>
              </w:rPr>
            </w:pPr>
            <w:r w:rsidRPr="00AF435C">
              <w:rPr>
                <w:b/>
                <w:bCs/>
                <w:color w:val="000000"/>
                <w:sz w:val="18"/>
                <w:szCs w:val="18"/>
              </w:rPr>
              <w:t>Accantonamenti - Acc per Crediti</w:t>
            </w:r>
          </w:p>
        </w:tc>
      </w:tr>
      <w:tr w:rsidR="001D77DF" w:rsidRPr="00AF435C" w:rsidTr="0051482E">
        <w:trPr>
          <w:trHeight w:val="87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D77DF" w:rsidRPr="00AF435C" w:rsidRDefault="001D77DF" w:rsidP="0051482E">
            <w:pPr>
              <w:rPr>
                <w:color w:val="000000"/>
                <w:sz w:val="18"/>
                <w:szCs w:val="18"/>
              </w:rPr>
            </w:pPr>
            <w:r w:rsidRPr="00AF435C">
              <w:rPr>
                <w:color w:val="000000"/>
                <w:sz w:val="18"/>
                <w:szCs w:val="18"/>
              </w:rPr>
              <w:t>L'Ente deve indicare il valore pari all' 80% della quota accantonata per FCDE, riparametrata alla soglia del 100%, nel bilancio 2019 assestato relativa alla TARI. La quota inserita potrà essere ridotta in funzione delle considerazioni e delle risultanze che emergeranno in sede di definizione del PEF.</w:t>
            </w:r>
          </w:p>
        </w:tc>
      </w:tr>
      <w:tr w:rsidR="001D77DF" w:rsidRPr="00AF435C" w:rsidTr="0051482E">
        <w:trPr>
          <w:trHeight w:val="410"/>
        </w:trPr>
        <w:tc>
          <w:tcPr>
            <w:tcW w:w="1728" w:type="pct"/>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1D77DF" w:rsidRPr="00AF435C" w:rsidRDefault="001D77DF" w:rsidP="0051482E">
            <w:pPr>
              <w:jc w:val="center"/>
              <w:rPr>
                <w:b/>
                <w:bCs/>
                <w:color w:val="000000"/>
                <w:sz w:val="18"/>
                <w:szCs w:val="18"/>
              </w:rPr>
            </w:pPr>
            <w:r w:rsidRPr="00AF435C">
              <w:rPr>
                <w:b/>
                <w:bCs/>
                <w:color w:val="000000"/>
                <w:sz w:val="18"/>
                <w:szCs w:val="18"/>
              </w:rPr>
              <w:t>Causale</w:t>
            </w:r>
          </w:p>
        </w:tc>
        <w:tc>
          <w:tcPr>
            <w:tcW w:w="1728" w:type="pct"/>
            <w:tcBorders>
              <w:top w:val="nil"/>
              <w:left w:val="nil"/>
              <w:bottom w:val="single" w:sz="4" w:space="0" w:color="auto"/>
              <w:right w:val="single" w:sz="4" w:space="0" w:color="auto"/>
            </w:tcBorders>
            <w:shd w:val="clear" w:color="auto" w:fill="A8D08D" w:themeFill="accent6" w:themeFillTint="99"/>
            <w:vAlign w:val="center"/>
            <w:hideMark/>
          </w:tcPr>
          <w:p w:rsidR="001D77DF" w:rsidRPr="00AF435C" w:rsidRDefault="001D77DF" w:rsidP="0051482E">
            <w:pPr>
              <w:jc w:val="center"/>
              <w:rPr>
                <w:b/>
                <w:bCs/>
                <w:color w:val="000000"/>
                <w:sz w:val="18"/>
                <w:szCs w:val="18"/>
              </w:rPr>
            </w:pPr>
            <w:r w:rsidRPr="00AF435C">
              <w:rPr>
                <w:b/>
                <w:bCs/>
                <w:color w:val="000000"/>
                <w:sz w:val="18"/>
                <w:szCs w:val="18"/>
              </w:rPr>
              <w:t>Fonte contabile obbligatoria</w:t>
            </w:r>
          </w:p>
        </w:tc>
        <w:tc>
          <w:tcPr>
            <w:tcW w:w="772" w:type="pct"/>
            <w:tcBorders>
              <w:top w:val="nil"/>
              <w:left w:val="nil"/>
              <w:bottom w:val="single" w:sz="4" w:space="0" w:color="auto"/>
              <w:right w:val="single" w:sz="4" w:space="0" w:color="auto"/>
            </w:tcBorders>
            <w:shd w:val="clear" w:color="auto" w:fill="A8D08D" w:themeFill="accent6" w:themeFillTint="99"/>
            <w:vAlign w:val="center"/>
            <w:hideMark/>
          </w:tcPr>
          <w:p w:rsidR="001D77DF" w:rsidRPr="00AF435C" w:rsidRDefault="001D77DF" w:rsidP="0051482E">
            <w:pPr>
              <w:jc w:val="center"/>
              <w:rPr>
                <w:b/>
                <w:bCs/>
                <w:color w:val="000000"/>
                <w:sz w:val="18"/>
                <w:szCs w:val="18"/>
              </w:rPr>
            </w:pPr>
            <w:r w:rsidRPr="00AF435C">
              <w:rPr>
                <w:b/>
                <w:bCs/>
                <w:color w:val="000000"/>
                <w:sz w:val="18"/>
                <w:szCs w:val="18"/>
              </w:rPr>
              <w:t>Quota TARI riparametrata al 100%</w:t>
            </w:r>
          </w:p>
        </w:tc>
        <w:tc>
          <w:tcPr>
            <w:tcW w:w="772" w:type="pct"/>
            <w:tcBorders>
              <w:top w:val="nil"/>
              <w:left w:val="nil"/>
              <w:bottom w:val="single" w:sz="4" w:space="0" w:color="auto"/>
              <w:right w:val="single" w:sz="4" w:space="0" w:color="auto"/>
            </w:tcBorders>
            <w:shd w:val="clear" w:color="auto" w:fill="A8D08D" w:themeFill="accent6" w:themeFillTint="99"/>
            <w:vAlign w:val="center"/>
            <w:hideMark/>
          </w:tcPr>
          <w:p w:rsidR="001D77DF" w:rsidRPr="00AF435C" w:rsidRDefault="001D77DF" w:rsidP="0051482E">
            <w:pPr>
              <w:jc w:val="center"/>
              <w:rPr>
                <w:b/>
                <w:bCs/>
                <w:color w:val="000000"/>
                <w:sz w:val="18"/>
                <w:szCs w:val="18"/>
              </w:rPr>
            </w:pPr>
            <w:r w:rsidRPr="00AF435C">
              <w:rPr>
                <w:b/>
                <w:bCs/>
                <w:color w:val="000000"/>
                <w:sz w:val="18"/>
                <w:szCs w:val="18"/>
              </w:rPr>
              <w:t>Valore massimo previsto</w:t>
            </w:r>
          </w:p>
        </w:tc>
      </w:tr>
      <w:tr w:rsidR="001D77DF" w:rsidRPr="00AF435C" w:rsidTr="0051482E">
        <w:trPr>
          <w:trHeight w:val="489"/>
        </w:trPr>
        <w:tc>
          <w:tcPr>
            <w:tcW w:w="4228" w:type="pct"/>
            <w:gridSpan w:val="3"/>
            <w:tcBorders>
              <w:top w:val="nil"/>
              <w:left w:val="single" w:sz="4" w:space="0" w:color="auto"/>
              <w:bottom w:val="single" w:sz="4" w:space="0" w:color="auto"/>
              <w:right w:val="single" w:sz="4" w:space="0" w:color="auto"/>
            </w:tcBorders>
            <w:shd w:val="clear" w:color="auto" w:fill="auto"/>
            <w:noWrap/>
            <w:vAlign w:val="center"/>
          </w:tcPr>
          <w:p w:rsidR="001D77DF" w:rsidRPr="00AF435C" w:rsidRDefault="001D77DF" w:rsidP="0051482E">
            <w:pPr>
              <w:jc w:val="center"/>
              <w:rPr>
                <w:color w:val="000000"/>
                <w:sz w:val="18"/>
                <w:szCs w:val="18"/>
              </w:rPr>
            </w:pPr>
            <w:r w:rsidRPr="00AF435C">
              <w:rPr>
                <w:color w:val="000000"/>
                <w:sz w:val="18"/>
                <w:szCs w:val="18"/>
              </w:rPr>
              <w:t xml:space="preserve">Accantonamenti - </w:t>
            </w:r>
            <w:r w:rsidRPr="00AF435C">
              <w:rPr>
                <w:b/>
                <w:bCs/>
                <w:color w:val="000000"/>
                <w:sz w:val="18"/>
                <w:szCs w:val="18"/>
              </w:rPr>
              <w:t>Acc</w:t>
            </w:r>
            <w:r w:rsidRPr="00AF435C">
              <w:rPr>
                <w:color w:val="000000"/>
                <w:sz w:val="18"/>
                <w:szCs w:val="18"/>
              </w:rPr>
              <w:t xml:space="preserve"> per Crediti</w:t>
            </w:r>
          </w:p>
        </w:tc>
        <w:tc>
          <w:tcPr>
            <w:tcW w:w="772" w:type="pct"/>
            <w:tcBorders>
              <w:top w:val="nil"/>
              <w:left w:val="nil"/>
              <w:bottom w:val="single" w:sz="4" w:space="0" w:color="auto"/>
              <w:right w:val="single" w:sz="4" w:space="0" w:color="auto"/>
            </w:tcBorders>
            <w:shd w:val="clear" w:color="auto" w:fill="A8D08D" w:themeFill="accent6" w:themeFillTint="99"/>
            <w:noWrap/>
            <w:vAlign w:val="center"/>
          </w:tcPr>
          <w:p w:rsidR="001D77DF" w:rsidRPr="00AF435C" w:rsidRDefault="000E629F" w:rsidP="0051482E">
            <w:pPr>
              <w:jc w:val="right"/>
              <w:rPr>
                <w:b/>
                <w:bCs/>
                <w:color w:val="000000"/>
                <w:sz w:val="18"/>
                <w:szCs w:val="18"/>
              </w:rPr>
            </w:pPr>
            <w:r>
              <w:rPr>
                <w:b/>
                <w:bCs/>
                <w:color w:val="000000"/>
                <w:sz w:val="18"/>
                <w:szCs w:val="18"/>
              </w:rPr>
              <w:t>14.344,41</w:t>
            </w:r>
          </w:p>
        </w:tc>
      </w:tr>
    </w:tbl>
    <w:p w:rsidR="001F3F79" w:rsidRDefault="001F3F79" w:rsidP="00051D74">
      <w:pPr>
        <w:autoSpaceDE w:val="0"/>
        <w:autoSpaceDN w:val="0"/>
        <w:adjustRightInd w:val="0"/>
      </w:pPr>
    </w:p>
    <w:p w:rsidR="001F3F79" w:rsidRDefault="001F3F79">
      <w:pPr>
        <w:jc w:val="left"/>
      </w:pPr>
      <w:r>
        <w:br w:type="page"/>
      </w:r>
    </w:p>
    <w:p w:rsidR="00C87E4E" w:rsidRPr="00F92BA9" w:rsidRDefault="00C87E4E" w:rsidP="00C87E4E">
      <w:pPr>
        <w:pStyle w:val="Titolo1"/>
        <w:rPr>
          <w:rFonts w:cs="Times New Roman"/>
        </w:rPr>
      </w:pPr>
      <w:bookmarkStart w:id="45" w:name="_Toc75194854"/>
      <w:r w:rsidRPr="00F92BA9">
        <w:rPr>
          <w:rFonts w:cs="Times New Roman"/>
        </w:rPr>
        <w:lastRenderedPageBreak/>
        <w:t>Valutazioni dell’Ente territorialmente competente</w:t>
      </w:r>
      <w:bookmarkEnd w:id="45"/>
    </w:p>
    <w:p w:rsidR="003771FA" w:rsidRPr="00F92BA9" w:rsidRDefault="003771FA" w:rsidP="003540AD">
      <w:pPr>
        <w:pStyle w:val="Titolo2"/>
        <w:rPr>
          <w:rFonts w:cs="Times New Roman"/>
        </w:rPr>
      </w:pPr>
      <w:bookmarkStart w:id="46" w:name="_Toc75194855"/>
      <w:r w:rsidRPr="00F92BA9">
        <w:rPr>
          <w:rFonts w:cs="Times New Roman"/>
        </w:rPr>
        <w:t>Attività di validazione svolta</w:t>
      </w:r>
      <w:bookmarkEnd w:id="46"/>
    </w:p>
    <w:p w:rsidR="00CF63EC" w:rsidRPr="00824DD7" w:rsidRDefault="00CF63EC" w:rsidP="00CF63EC">
      <w:pPr>
        <w:autoSpaceDE w:val="0"/>
        <w:autoSpaceDN w:val="0"/>
        <w:adjustRightInd w:val="0"/>
        <w:jc w:val="left"/>
        <w:rPr>
          <w:sz w:val="10"/>
          <w:szCs w:val="10"/>
        </w:rPr>
      </w:pPr>
    </w:p>
    <w:p w:rsidR="00747A55" w:rsidRDefault="00747A55" w:rsidP="009353A4">
      <w:r w:rsidRPr="004A0BB2">
        <w:t xml:space="preserve">Il Comune di </w:t>
      </w:r>
      <w:r w:rsidR="00E8757D">
        <w:t>SAN PIETRO IN GUARANO</w:t>
      </w:r>
      <w:r w:rsidRPr="004A0BB2">
        <w:t>, in qualità di Ente territorialmente competente, ha verificato la completezza, la coerenza e la congruità dei dati e delle informazioni necessari alla elaborazione annuale del piano economico finanziario (di seguito: PEF).</w:t>
      </w:r>
    </w:p>
    <w:p w:rsidR="000368FC" w:rsidRDefault="000368FC" w:rsidP="009353A4"/>
    <w:p w:rsidR="00D34673" w:rsidRPr="001F3F79" w:rsidRDefault="00D34673" w:rsidP="009353A4">
      <w:pPr>
        <w:rPr>
          <w:b/>
          <w:bCs/>
        </w:rPr>
      </w:pPr>
      <w:r w:rsidRPr="001F3F79">
        <w:rPr>
          <w:b/>
          <w:bCs/>
        </w:rPr>
        <w:t>Non è stato possibile effettuare l’attività di validazione sulla documentazione del gestore in quanto lo stesso, come indicato al punto 2.1 non ha trasmesso la documentazione richiesta</w:t>
      </w:r>
    </w:p>
    <w:p w:rsidR="00747A55" w:rsidRPr="00824DD7" w:rsidRDefault="00747A55" w:rsidP="009353A4">
      <w:pPr>
        <w:autoSpaceDE w:val="0"/>
        <w:autoSpaceDN w:val="0"/>
        <w:adjustRightInd w:val="0"/>
        <w:rPr>
          <w:sz w:val="10"/>
          <w:szCs w:val="10"/>
        </w:rPr>
      </w:pPr>
    </w:p>
    <w:p w:rsidR="00747A55" w:rsidRPr="004A0BB2" w:rsidRDefault="00747A55" w:rsidP="009353A4">
      <w:r w:rsidRPr="004A0BB2">
        <w:t xml:space="preserve">Presa conoscenza dei documenti pervenuti dal gestore del servizio integrato dei rifiuti e confrontati con le risultanze contabili allegate e le corrispondenti voci del Bilancio Comunale legate allo svolgimento diretto ed indiretto del servizio, è stato possibile completare correttamente l’operazione di validazione, preventiva e necessaria rispetto alla definitiva determinazione dei prezzi massimi ammissibili per l’anno </w:t>
      </w:r>
      <w:r w:rsidR="000E5F1E">
        <w:t>2021</w:t>
      </w:r>
      <w:r w:rsidRPr="004A0BB2">
        <w:t xml:space="preserve"> e propedeutica all’invio all’Autorità per la definitiva approvazione.</w:t>
      </w:r>
    </w:p>
    <w:p w:rsidR="00747A55" w:rsidRPr="00A94683" w:rsidRDefault="00747A55" w:rsidP="009353A4">
      <w:pPr>
        <w:rPr>
          <w:rFonts w:cstheme="minorHAnsi"/>
          <w:sz w:val="10"/>
          <w:szCs w:val="10"/>
        </w:rPr>
      </w:pPr>
    </w:p>
    <w:p w:rsidR="00747A55" w:rsidRPr="004A0BB2" w:rsidRDefault="00747A55" w:rsidP="009353A4">
      <w:r w:rsidRPr="004A0BB2">
        <w:t>La suddetta attività di validazione è stata svolta analizzando i dati trasmessi dal gestore</w:t>
      </w:r>
      <w:r w:rsidR="00EE4FE4">
        <w:t>, nel 202</w:t>
      </w:r>
      <w:r w:rsidR="00F94139">
        <w:t>1</w:t>
      </w:r>
      <w:r w:rsidR="00EE4FE4">
        <w:t>,</w:t>
      </w:r>
      <w:r w:rsidRPr="004A0BB2">
        <w:t xml:space="preserve"> confrontandoli, in coerenza con le caratteristiche del servizio effettivamente reso.</w:t>
      </w:r>
    </w:p>
    <w:p w:rsidR="00747A55" w:rsidRPr="004A0BB2" w:rsidRDefault="00747A55" w:rsidP="00747A55">
      <w:pPr>
        <w:rPr>
          <w:color w:val="000000"/>
        </w:rPr>
      </w:pPr>
      <w:r w:rsidRPr="004A0BB2">
        <w:rPr>
          <w:color w:val="000000"/>
        </w:rPr>
        <w:t xml:space="preserve">È stato verificato, in base all’articolo 6 del MTR, “I costi ammessi a riconoscimento tariffario sono calcolati secondo criteri di efficienza, considerando i costi al netto dell’IVA detraibile e delle imposte. </w:t>
      </w:r>
    </w:p>
    <w:p w:rsidR="00747A55" w:rsidRPr="004A0BB2" w:rsidRDefault="00747A55" w:rsidP="00747A55">
      <w:pPr>
        <w:rPr>
          <w:bCs/>
          <w:color w:val="000000"/>
        </w:rPr>
      </w:pPr>
      <w:r w:rsidRPr="004A0BB2">
        <w:rPr>
          <w:bCs/>
          <w:color w:val="000000"/>
        </w:rPr>
        <w:t xml:space="preserve">I costi efficienti di esercizio e di investimento riconosciuti per l’anno </w:t>
      </w:r>
      <w:r w:rsidR="000E5F1E">
        <w:rPr>
          <w:bCs/>
          <w:color w:val="000000"/>
        </w:rPr>
        <w:t>2021</w:t>
      </w:r>
      <w:r w:rsidRPr="004A0BB2">
        <w:rPr>
          <w:bCs/>
          <w:color w:val="000000"/>
        </w:rPr>
        <w:t>, per il servizio del ciclo integrato, sono stati determinati sulla base di quelli effettivi rilevati nell’anno di riferimento 201</w:t>
      </w:r>
      <w:r w:rsidR="00913BF8">
        <w:rPr>
          <w:bCs/>
          <w:color w:val="000000"/>
        </w:rPr>
        <w:t>9</w:t>
      </w:r>
      <w:r w:rsidRPr="004A0BB2">
        <w:rPr>
          <w:bCs/>
          <w:color w:val="000000"/>
        </w:rPr>
        <w:t>, come risultanti da fonti contabili obbligatorie.</w:t>
      </w:r>
    </w:p>
    <w:p w:rsidR="00747A55" w:rsidRPr="00A94683" w:rsidRDefault="00747A55" w:rsidP="00747A55">
      <w:pPr>
        <w:rPr>
          <w:rFonts w:cstheme="minorHAnsi"/>
          <w:sz w:val="10"/>
          <w:szCs w:val="10"/>
        </w:rPr>
      </w:pPr>
    </w:p>
    <w:p w:rsidR="00747A55" w:rsidRDefault="00747A55" w:rsidP="00747A55">
      <w:pPr>
        <w:rPr>
          <w:rFonts w:cstheme="minorHAnsi"/>
        </w:rPr>
      </w:pPr>
      <w:r>
        <w:rPr>
          <w:rFonts w:cstheme="minorHAnsi"/>
        </w:rPr>
        <w:t>A</w:t>
      </w:r>
      <w:r w:rsidRPr="00C63371">
        <w:rPr>
          <w:rFonts w:cstheme="minorHAnsi"/>
        </w:rPr>
        <w:t xml:space="preserve">i fini dell’aggiornamento dei costi operativi, il tasso di inflazione relativo all’anno </w:t>
      </w:r>
      <w:r w:rsidRPr="00C56804">
        <w:rPr>
          <w:rFonts w:cstheme="minorHAnsi"/>
          <w:i/>
          <w:iCs/>
        </w:rPr>
        <w:t>a</w:t>
      </w:r>
      <w:r w:rsidRPr="00C63371">
        <w:rPr>
          <w:rFonts w:cstheme="minorHAnsi"/>
        </w:rPr>
        <w:t>, inteso come variazione percentuale della media calcolata su 12 mesi dell’indice mensile ISTAT per le Famiglie di Operai ed Impiegati (FOI esclusi i tabacchi) nei mesi da luglio dell’anno (a-1) rispetto a giugno dell’anno successivo, per le annualità 2019</w:t>
      </w:r>
      <w:r w:rsidR="00AC1A18">
        <w:rPr>
          <w:rFonts w:cstheme="minorHAnsi"/>
        </w:rPr>
        <w:t>,</w:t>
      </w:r>
      <w:r w:rsidR="000E5F1E">
        <w:rPr>
          <w:rFonts w:cstheme="minorHAnsi"/>
        </w:rPr>
        <w:t>202</w:t>
      </w:r>
      <w:r w:rsidR="00AC1A18">
        <w:rPr>
          <w:rFonts w:cstheme="minorHAnsi"/>
        </w:rPr>
        <w:t>0 e 2021</w:t>
      </w:r>
      <w:r w:rsidRPr="00C63371">
        <w:rPr>
          <w:rFonts w:cstheme="minorHAnsi"/>
        </w:rPr>
        <w:t xml:space="preserve">, è pari a </w:t>
      </w:r>
      <w:r w:rsidRPr="00C63371">
        <w:rPr>
          <w:rFonts w:ascii="Cambria Math" w:hAnsi="Cambria Math" w:cs="Cambria Math"/>
        </w:rPr>
        <w:t>𝐼</w:t>
      </w:r>
      <w:r w:rsidRPr="004178C8">
        <w:rPr>
          <w:rFonts w:cstheme="minorHAnsi"/>
          <w:vertAlign w:val="superscript"/>
        </w:rPr>
        <w:t>2019</w:t>
      </w:r>
      <w:r w:rsidRPr="00C63371">
        <w:rPr>
          <w:rFonts w:cstheme="minorHAnsi"/>
        </w:rPr>
        <w:t xml:space="preserve"> = 0,90%</w:t>
      </w:r>
      <w:r w:rsidR="00913BF8">
        <w:rPr>
          <w:rFonts w:cstheme="minorHAnsi"/>
        </w:rPr>
        <w:t>,</w:t>
      </w:r>
      <w:r w:rsidRPr="00C63371">
        <w:rPr>
          <w:rFonts w:cstheme="minorHAnsi"/>
        </w:rPr>
        <w:t xml:space="preserve"> a </w:t>
      </w:r>
      <w:r w:rsidRPr="00C63371">
        <w:rPr>
          <w:rFonts w:ascii="Cambria Math" w:hAnsi="Cambria Math" w:cs="Cambria Math"/>
        </w:rPr>
        <w:t>𝐼</w:t>
      </w:r>
      <w:r w:rsidR="000E5F1E" w:rsidRPr="004178C8">
        <w:rPr>
          <w:rFonts w:cstheme="minorHAnsi"/>
          <w:vertAlign w:val="superscript"/>
        </w:rPr>
        <w:t>202</w:t>
      </w:r>
      <w:r w:rsidR="00913BF8" w:rsidRPr="004178C8">
        <w:rPr>
          <w:rFonts w:cstheme="minorHAnsi"/>
          <w:vertAlign w:val="superscript"/>
        </w:rPr>
        <w:t>0</w:t>
      </w:r>
      <w:r w:rsidRPr="00C63371">
        <w:rPr>
          <w:rFonts w:cstheme="minorHAnsi"/>
        </w:rPr>
        <w:t xml:space="preserve"> = 1,10% </w:t>
      </w:r>
      <w:r w:rsidR="00913BF8">
        <w:rPr>
          <w:rFonts w:cstheme="minorHAnsi"/>
        </w:rPr>
        <w:t xml:space="preserve">e </w:t>
      </w:r>
      <w:r w:rsidR="00913BF8" w:rsidRPr="00C63371">
        <w:rPr>
          <w:rFonts w:cstheme="minorHAnsi"/>
        </w:rPr>
        <w:t xml:space="preserve">a </w:t>
      </w:r>
      <w:r w:rsidR="00913BF8" w:rsidRPr="00C63371">
        <w:rPr>
          <w:rFonts w:ascii="Cambria Math" w:hAnsi="Cambria Math" w:cs="Cambria Math"/>
        </w:rPr>
        <w:t>𝐼</w:t>
      </w:r>
      <w:r w:rsidR="00913BF8" w:rsidRPr="004178C8">
        <w:rPr>
          <w:rFonts w:cstheme="minorHAnsi"/>
          <w:vertAlign w:val="superscript"/>
        </w:rPr>
        <w:t>2021</w:t>
      </w:r>
      <w:r w:rsidR="00913BF8" w:rsidRPr="00C63371">
        <w:rPr>
          <w:rFonts w:cstheme="minorHAnsi"/>
        </w:rPr>
        <w:t xml:space="preserve"> = </w:t>
      </w:r>
      <w:r w:rsidR="00913BF8">
        <w:rPr>
          <w:rFonts w:cstheme="minorHAnsi"/>
        </w:rPr>
        <w:t>0</w:t>
      </w:r>
      <w:r w:rsidR="00913BF8" w:rsidRPr="00C63371">
        <w:rPr>
          <w:rFonts w:cstheme="minorHAnsi"/>
        </w:rPr>
        <w:t xml:space="preserve">,10% </w:t>
      </w:r>
      <w:r w:rsidRPr="00C63371">
        <w:rPr>
          <w:rFonts w:cstheme="minorHAnsi"/>
        </w:rPr>
        <w:t>(art. 6.</w:t>
      </w:r>
      <w:r w:rsidR="00AC1A18">
        <w:rPr>
          <w:rFonts w:cstheme="minorHAnsi"/>
        </w:rPr>
        <w:t>5</w:t>
      </w:r>
      <w:r w:rsidRPr="00C63371">
        <w:rPr>
          <w:rFonts w:cstheme="minorHAnsi"/>
        </w:rPr>
        <w:t xml:space="preserve"> – All. A Del. 443/2019/R/rif)</w:t>
      </w:r>
      <w:r>
        <w:rPr>
          <w:rFonts w:cstheme="minorHAnsi"/>
        </w:rPr>
        <w:t>.</w:t>
      </w:r>
    </w:p>
    <w:p w:rsidR="00F61FFD" w:rsidRDefault="00F61FFD">
      <w:pPr>
        <w:jc w:val="left"/>
      </w:pPr>
    </w:p>
    <w:p w:rsidR="009471D9" w:rsidRDefault="004660CC" w:rsidP="003771FA">
      <w:r w:rsidRPr="00F92BA9">
        <w:t xml:space="preserve">I valori inseriti nel Piano Economico Finanziario, sia per i costi fissi che per quelli variabili, sono pertanto coerenti e congrui con le necessità di bilancio, con il principio della copertura integrale del costo del servizio e con i criteri fissati con le nuove disposizioni fornite dall’ARERA con la delibera n. 443/2019 e </w:t>
      </w:r>
      <w:r w:rsidR="002B1B93" w:rsidRPr="00F92BA9">
        <w:t>seguenti</w:t>
      </w:r>
      <w:r w:rsidRPr="00F92BA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4A0"/>
      </w:tblPr>
      <w:tblGrid>
        <w:gridCol w:w="7607"/>
        <w:gridCol w:w="2171"/>
      </w:tblGrid>
      <w:tr w:rsidR="00745700" w:rsidRPr="008E0FE0" w:rsidTr="00F94139">
        <w:trPr>
          <w:trHeight w:val="480"/>
        </w:trPr>
        <w:tc>
          <w:tcPr>
            <w:tcW w:w="3890" w:type="pct"/>
            <w:shd w:val="clear" w:color="auto" w:fill="A8D08D" w:themeFill="accent6" w:themeFillTint="99"/>
            <w:noWrap/>
            <w:vAlign w:val="center"/>
            <w:hideMark/>
          </w:tcPr>
          <w:p w:rsidR="00745700" w:rsidRPr="008E0FE0" w:rsidRDefault="00745700" w:rsidP="00582C6C">
            <w:pPr>
              <w:jc w:val="left"/>
              <w:rPr>
                <w:b/>
                <w:bCs/>
                <w:color w:val="000000"/>
                <w:sz w:val="20"/>
                <w:szCs w:val="20"/>
              </w:rPr>
            </w:pPr>
            <w:r w:rsidRPr="008E0FE0">
              <w:rPr>
                <w:b/>
                <w:bCs/>
                <w:color w:val="000000"/>
                <w:sz w:val="20"/>
                <w:szCs w:val="20"/>
              </w:rPr>
              <w:t>∑T</w:t>
            </w:r>
            <w:r w:rsidR="000E5F1E">
              <w:rPr>
                <w:b/>
                <w:bCs/>
                <w:color w:val="000000"/>
                <w:sz w:val="20"/>
                <w:szCs w:val="20"/>
                <w:vertAlign w:val="subscript"/>
              </w:rPr>
              <w:t>2021</w:t>
            </w:r>
            <w:r w:rsidRPr="008E0FE0">
              <w:rPr>
                <w:b/>
                <w:bCs/>
                <w:color w:val="000000"/>
                <w:sz w:val="20"/>
                <w:szCs w:val="20"/>
              </w:rPr>
              <w:t>= ∑TV</w:t>
            </w:r>
            <w:r w:rsidR="000E5F1E">
              <w:rPr>
                <w:b/>
                <w:bCs/>
                <w:color w:val="000000"/>
                <w:sz w:val="20"/>
                <w:szCs w:val="20"/>
                <w:vertAlign w:val="subscript"/>
              </w:rPr>
              <w:t>2021</w:t>
            </w:r>
            <w:r w:rsidRPr="008E0FE0">
              <w:rPr>
                <w:b/>
                <w:bCs/>
                <w:color w:val="000000"/>
                <w:sz w:val="20"/>
                <w:szCs w:val="20"/>
              </w:rPr>
              <w:t xml:space="preserve"> + ∑TF</w:t>
            </w:r>
            <w:r w:rsidR="000E5F1E">
              <w:rPr>
                <w:b/>
                <w:bCs/>
                <w:color w:val="000000"/>
                <w:sz w:val="20"/>
                <w:szCs w:val="20"/>
                <w:vertAlign w:val="subscript"/>
              </w:rPr>
              <w:t>2021</w:t>
            </w:r>
          </w:p>
        </w:tc>
        <w:tc>
          <w:tcPr>
            <w:tcW w:w="1110" w:type="pct"/>
            <w:shd w:val="clear" w:color="auto" w:fill="A8D08D" w:themeFill="accent6" w:themeFillTint="99"/>
            <w:noWrap/>
            <w:vAlign w:val="center"/>
          </w:tcPr>
          <w:p w:rsidR="00745700" w:rsidRPr="008E0FE0" w:rsidRDefault="00421EF3" w:rsidP="00B008A8">
            <w:pPr>
              <w:jc w:val="right"/>
              <w:rPr>
                <w:b/>
                <w:bCs/>
                <w:color w:val="000000"/>
                <w:sz w:val="22"/>
                <w:szCs w:val="22"/>
              </w:rPr>
            </w:pPr>
            <w:r>
              <w:rPr>
                <w:b/>
                <w:bCs/>
                <w:color w:val="000000"/>
                <w:sz w:val="22"/>
                <w:szCs w:val="22"/>
              </w:rPr>
              <w:t>482.618,82</w:t>
            </w:r>
          </w:p>
        </w:tc>
      </w:tr>
      <w:tr w:rsidR="00745700" w:rsidRPr="008E0FE0" w:rsidTr="00582C6C">
        <w:trPr>
          <w:trHeight w:val="166"/>
        </w:trPr>
        <w:tc>
          <w:tcPr>
            <w:tcW w:w="3890" w:type="pct"/>
            <w:shd w:val="clear" w:color="auto" w:fill="auto"/>
            <w:noWrap/>
            <w:vAlign w:val="center"/>
          </w:tcPr>
          <w:p w:rsidR="00745700" w:rsidRPr="008E0FE0" w:rsidRDefault="00745700" w:rsidP="00582C6C">
            <w:pPr>
              <w:jc w:val="left"/>
              <w:rPr>
                <w:b/>
                <w:bCs/>
                <w:color w:val="000000"/>
                <w:sz w:val="10"/>
                <w:szCs w:val="10"/>
              </w:rPr>
            </w:pPr>
          </w:p>
        </w:tc>
        <w:tc>
          <w:tcPr>
            <w:tcW w:w="1110" w:type="pct"/>
            <w:shd w:val="clear" w:color="auto" w:fill="auto"/>
            <w:noWrap/>
            <w:vAlign w:val="center"/>
          </w:tcPr>
          <w:p w:rsidR="00745700" w:rsidRPr="008E0FE0" w:rsidRDefault="00745700" w:rsidP="00582C6C">
            <w:pPr>
              <w:jc w:val="right"/>
              <w:rPr>
                <w:b/>
                <w:bCs/>
                <w:color w:val="000000"/>
                <w:sz w:val="10"/>
                <w:szCs w:val="10"/>
              </w:rPr>
            </w:pPr>
          </w:p>
        </w:tc>
      </w:tr>
      <w:tr w:rsidR="00745700" w:rsidRPr="008E0FE0" w:rsidTr="00F94139">
        <w:trPr>
          <w:trHeight w:val="480"/>
        </w:trPr>
        <w:tc>
          <w:tcPr>
            <w:tcW w:w="3890" w:type="pct"/>
            <w:shd w:val="clear" w:color="auto" w:fill="A8D08D" w:themeFill="accent6" w:themeFillTint="99"/>
            <w:noWrap/>
            <w:vAlign w:val="center"/>
          </w:tcPr>
          <w:p w:rsidR="00745700" w:rsidRPr="008E0FE0" w:rsidRDefault="00745700" w:rsidP="00582C6C">
            <w:pPr>
              <w:jc w:val="left"/>
              <w:rPr>
                <w:b/>
                <w:bCs/>
                <w:color w:val="000000"/>
                <w:sz w:val="20"/>
                <w:szCs w:val="20"/>
              </w:rPr>
            </w:pPr>
            <w:r w:rsidRPr="008E0FE0">
              <w:rPr>
                <w:b/>
                <w:bCs/>
                <w:color w:val="000000"/>
                <w:sz w:val="20"/>
                <w:szCs w:val="20"/>
              </w:rPr>
              <w:t>∑TV</w:t>
            </w:r>
            <w:r w:rsidR="000E5F1E">
              <w:rPr>
                <w:b/>
                <w:bCs/>
                <w:color w:val="000000"/>
                <w:sz w:val="20"/>
                <w:szCs w:val="20"/>
                <w:vertAlign w:val="subscript"/>
              </w:rPr>
              <w:t>2021</w:t>
            </w:r>
            <w:r w:rsidRPr="008E0FE0">
              <w:rPr>
                <w:color w:val="000000"/>
                <w:sz w:val="20"/>
                <w:szCs w:val="20"/>
              </w:rPr>
              <w:t>-</w:t>
            </w:r>
            <w:r w:rsidRPr="008E0FE0">
              <w:rPr>
                <w:sz w:val="20"/>
                <w:szCs w:val="20"/>
              </w:rPr>
              <w:t xml:space="preserve">Totale delle entrate tariffarie delle componenti di </w:t>
            </w:r>
            <w:r w:rsidRPr="008E0FE0">
              <w:rPr>
                <w:b/>
                <w:bCs/>
                <w:sz w:val="20"/>
                <w:szCs w:val="20"/>
              </w:rPr>
              <w:t>costo variabile</w:t>
            </w:r>
            <w:r w:rsidRPr="008E0FE0">
              <w:rPr>
                <w:sz w:val="20"/>
                <w:szCs w:val="20"/>
              </w:rPr>
              <w:t xml:space="preserve"> è pari ad </w:t>
            </w:r>
            <w:r w:rsidRPr="008E0FE0">
              <w:rPr>
                <w:b/>
                <w:bCs/>
                <w:sz w:val="20"/>
                <w:szCs w:val="20"/>
              </w:rPr>
              <w:t>euro</w:t>
            </w:r>
          </w:p>
        </w:tc>
        <w:tc>
          <w:tcPr>
            <w:tcW w:w="1110" w:type="pct"/>
            <w:shd w:val="clear" w:color="auto" w:fill="A8D08D" w:themeFill="accent6" w:themeFillTint="99"/>
            <w:noWrap/>
            <w:vAlign w:val="center"/>
          </w:tcPr>
          <w:p w:rsidR="00745700" w:rsidRPr="008E0FE0" w:rsidRDefault="00421EF3" w:rsidP="00D01F51">
            <w:pPr>
              <w:jc w:val="right"/>
              <w:rPr>
                <w:b/>
                <w:bCs/>
                <w:color w:val="000000"/>
                <w:sz w:val="22"/>
                <w:szCs w:val="22"/>
              </w:rPr>
            </w:pPr>
            <w:r>
              <w:rPr>
                <w:b/>
                <w:bCs/>
                <w:color w:val="000000"/>
                <w:sz w:val="22"/>
                <w:szCs w:val="22"/>
              </w:rPr>
              <w:t>305.986,07</w:t>
            </w:r>
          </w:p>
        </w:tc>
      </w:tr>
      <w:tr w:rsidR="00745700" w:rsidRPr="008E0FE0" w:rsidTr="00582C6C">
        <w:trPr>
          <w:trHeight w:val="166"/>
        </w:trPr>
        <w:tc>
          <w:tcPr>
            <w:tcW w:w="3890" w:type="pct"/>
            <w:shd w:val="clear" w:color="auto" w:fill="auto"/>
            <w:noWrap/>
            <w:vAlign w:val="center"/>
          </w:tcPr>
          <w:p w:rsidR="00745700" w:rsidRPr="008E0FE0" w:rsidRDefault="00745700" w:rsidP="00582C6C">
            <w:pPr>
              <w:jc w:val="left"/>
              <w:rPr>
                <w:b/>
                <w:bCs/>
                <w:color w:val="000000"/>
                <w:sz w:val="10"/>
                <w:szCs w:val="10"/>
              </w:rPr>
            </w:pPr>
          </w:p>
        </w:tc>
        <w:tc>
          <w:tcPr>
            <w:tcW w:w="1110" w:type="pct"/>
            <w:shd w:val="clear" w:color="auto" w:fill="auto"/>
            <w:noWrap/>
            <w:vAlign w:val="center"/>
          </w:tcPr>
          <w:p w:rsidR="00745700" w:rsidRPr="008E0FE0" w:rsidRDefault="00745700" w:rsidP="00582C6C">
            <w:pPr>
              <w:jc w:val="left"/>
              <w:rPr>
                <w:b/>
                <w:bCs/>
                <w:color w:val="000000"/>
                <w:sz w:val="10"/>
                <w:szCs w:val="10"/>
              </w:rPr>
            </w:pPr>
          </w:p>
        </w:tc>
      </w:tr>
      <w:tr w:rsidR="00745700" w:rsidRPr="008E0FE0" w:rsidTr="00F94139">
        <w:trPr>
          <w:trHeight w:val="480"/>
        </w:trPr>
        <w:tc>
          <w:tcPr>
            <w:tcW w:w="3890" w:type="pct"/>
            <w:shd w:val="clear" w:color="auto" w:fill="A8D08D" w:themeFill="accent6" w:themeFillTint="99"/>
            <w:noWrap/>
            <w:vAlign w:val="center"/>
          </w:tcPr>
          <w:p w:rsidR="00745700" w:rsidRPr="008E0FE0" w:rsidRDefault="00745700" w:rsidP="00582C6C">
            <w:pPr>
              <w:ind w:right="172"/>
              <w:jc w:val="left"/>
              <w:rPr>
                <w:b/>
                <w:bCs/>
                <w:color w:val="000000"/>
                <w:sz w:val="20"/>
                <w:szCs w:val="20"/>
              </w:rPr>
            </w:pPr>
            <w:r w:rsidRPr="008E0FE0">
              <w:rPr>
                <w:b/>
                <w:bCs/>
                <w:color w:val="000000"/>
                <w:sz w:val="20"/>
                <w:szCs w:val="20"/>
              </w:rPr>
              <w:t>∑TF</w:t>
            </w:r>
            <w:r w:rsidR="000E5F1E">
              <w:rPr>
                <w:b/>
                <w:bCs/>
                <w:color w:val="000000"/>
                <w:sz w:val="20"/>
                <w:szCs w:val="20"/>
                <w:vertAlign w:val="subscript"/>
              </w:rPr>
              <w:t>2021</w:t>
            </w:r>
            <w:r w:rsidRPr="008E0FE0">
              <w:rPr>
                <w:sz w:val="20"/>
                <w:szCs w:val="20"/>
              </w:rPr>
              <w:t xml:space="preserve">- Totale delle entrate tariffarie delle componenti di </w:t>
            </w:r>
            <w:r w:rsidRPr="008E0FE0">
              <w:rPr>
                <w:b/>
                <w:bCs/>
                <w:sz w:val="20"/>
                <w:szCs w:val="20"/>
              </w:rPr>
              <w:t xml:space="preserve">costo fisso </w:t>
            </w:r>
            <w:r w:rsidRPr="008E0FE0">
              <w:rPr>
                <w:sz w:val="20"/>
                <w:szCs w:val="20"/>
              </w:rPr>
              <w:t xml:space="preserve">è pari ad </w:t>
            </w:r>
            <w:r w:rsidRPr="008E0FE0">
              <w:rPr>
                <w:b/>
                <w:bCs/>
                <w:sz w:val="20"/>
                <w:szCs w:val="20"/>
              </w:rPr>
              <w:t>euro</w:t>
            </w:r>
          </w:p>
        </w:tc>
        <w:tc>
          <w:tcPr>
            <w:tcW w:w="1110" w:type="pct"/>
            <w:shd w:val="clear" w:color="auto" w:fill="A8D08D" w:themeFill="accent6" w:themeFillTint="99"/>
            <w:noWrap/>
            <w:vAlign w:val="center"/>
          </w:tcPr>
          <w:p w:rsidR="00745700" w:rsidRPr="008E0FE0" w:rsidRDefault="00421EF3" w:rsidP="00D01F51">
            <w:pPr>
              <w:jc w:val="right"/>
              <w:rPr>
                <w:b/>
                <w:bCs/>
                <w:color w:val="000000"/>
                <w:sz w:val="22"/>
                <w:szCs w:val="22"/>
              </w:rPr>
            </w:pPr>
            <w:r>
              <w:rPr>
                <w:b/>
                <w:bCs/>
                <w:color w:val="000000"/>
                <w:sz w:val="22"/>
                <w:szCs w:val="22"/>
              </w:rPr>
              <w:t>176.632,75</w:t>
            </w:r>
          </w:p>
        </w:tc>
      </w:tr>
    </w:tbl>
    <w:p w:rsidR="00421EF3" w:rsidRDefault="00421EF3">
      <w:pPr>
        <w:jc w:val="left"/>
      </w:pPr>
    </w:p>
    <w:p w:rsidR="00421EF3" w:rsidRDefault="00421EF3">
      <w:pPr>
        <w:jc w:val="left"/>
      </w:pPr>
      <w:r>
        <w:br w:type="page"/>
      </w:r>
    </w:p>
    <w:p w:rsidR="00BB72D0" w:rsidRDefault="00BB72D0">
      <w:pPr>
        <w:jc w:val="left"/>
      </w:pPr>
    </w:p>
    <w:p w:rsidR="009471D9" w:rsidRPr="00AE63BA" w:rsidRDefault="009471D9" w:rsidP="00C56B1B">
      <w:pPr>
        <w:pStyle w:val="Titolo2"/>
        <w:rPr>
          <w:rFonts w:cs="Times New Roman"/>
        </w:rPr>
      </w:pPr>
      <w:bookmarkStart w:id="47" w:name="_Toc75194856"/>
      <w:r w:rsidRPr="00AE63BA">
        <w:rPr>
          <w:rFonts w:cs="Times New Roman"/>
        </w:rPr>
        <w:t>Limite alla crescita annuale delle entrate tariffarie</w:t>
      </w:r>
      <w:bookmarkEnd w:id="47"/>
    </w:p>
    <w:p w:rsidR="00945228" w:rsidRPr="00421EF3" w:rsidRDefault="00945228" w:rsidP="00945228">
      <w:pPr>
        <w:rPr>
          <w:b/>
          <w:bCs/>
        </w:rPr>
      </w:pPr>
      <w:r w:rsidRPr="00421EF3">
        <w:rPr>
          <w:b/>
          <w:bCs/>
        </w:rPr>
        <w:t>Vista l’inerzia del gestore il Comune di SAN PIETRO IN GUARANO ha dovuto mantenere invariata la propria crescita tariffaria, non potendo applicare neanche l’aumento inflazionistico, come di seguito meglio rappresentato.</w:t>
      </w:r>
    </w:p>
    <w:p w:rsidR="00945228" w:rsidRDefault="00945228" w:rsidP="00551FC2">
      <w:pPr>
        <w:rPr>
          <w:rFonts w:cstheme="minorHAnsi"/>
        </w:rPr>
      </w:pPr>
    </w:p>
    <w:p w:rsidR="00551FC2" w:rsidRDefault="00551FC2" w:rsidP="00551FC2">
      <w:pPr>
        <w:rPr>
          <w:rFonts w:cstheme="minorHAnsi"/>
        </w:rPr>
      </w:pPr>
      <w:r>
        <w:rPr>
          <w:rFonts w:cstheme="minorHAnsi"/>
        </w:rPr>
        <w:t xml:space="preserve">L’articolo n. </w:t>
      </w:r>
      <w:r w:rsidRPr="0057640B">
        <w:rPr>
          <w:rFonts w:cstheme="minorHAnsi"/>
        </w:rPr>
        <w:t>4 dell'allegato A Delibera n. 443/2019</w:t>
      </w:r>
      <w:r>
        <w:rPr>
          <w:rFonts w:cstheme="minorHAnsi"/>
        </w:rPr>
        <w:t xml:space="preserve"> stabilisce che venga rispettato il limite di crescita delle entrate tariffarie rappresentato dalla seguente condizione:</w:t>
      </w:r>
    </w:p>
    <w:p w:rsidR="00551FC2" w:rsidRDefault="00551FC2" w:rsidP="00551FC2">
      <w:pPr>
        <w:rPr>
          <w:rFonts w:cstheme="minorHAnsi"/>
        </w:rPr>
      </w:pPr>
    </w:p>
    <w:p w:rsidR="00551FC2" w:rsidRPr="006C47FD" w:rsidRDefault="005E38AD" w:rsidP="00551FC2">
      <w:pPr>
        <w:rPr>
          <w:rFonts w:cstheme="minorHAnsi"/>
        </w:rPr>
      </w:pPr>
      <m:oMathPara>
        <m:oMathParaPr>
          <m:jc m:val="center"/>
        </m:oMathParaPr>
        <m:oMath>
          <m:f>
            <m:fPr>
              <m:ctrlPr>
                <w:rPr>
                  <w:rFonts w:ascii="Cambria Math" w:hAnsi="Cambria Math" w:cstheme="minorHAnsi"/>
                  <w:i/>
                </w:rPr>
              </m:ctrlPr>
            </m:fPr>
            <m:num>
              <m:sSub>
                <m:sSubPr>
                  <m:ctrlPr>
                    <w:rPr>
                      <w:rFonts w:ascii="Cambria Math" w:hAnsi="Cambria Math" w:cstheme="minorHAnsi"/>
                    </w:rPr>
                  </m:ctrlPr>
                </m:sSubPr>
                <m:e>
                  <m:r>
                    <m:rPr>
                      <m:sty m:val="p"/>
                    </m:rPr>
                    <w:rPr>
                      <w:rFonts w:ascii="Cambria Math" w:hAnsi="Cambria Math" w:cstheme="minorHAnsi"/>
                    </w:rPr>
                    <m:t>Σ</m:t>
                  </m:r>
                  <m:r>
                    <w:rPr>
                      <w:rFonts w:ascii="Cambria Math" w:hAnsi="Cambria Math" w:cstheme="minorHAnsi"/>
                    </w:rPr>
                    <m:t>T</m:t>
                  </m:r>
                </m:e>
                <m:sub>
                  <m:r>
                    <w:rPr>
                      <w:rFonts w:ascii="Cambria Math" w:hAnsi="Cambria Math" w:cstheme="minorHAnsi"/>
                    </w:rPr>
                    <m:t>2021</m:t>
                  </m:r>
                </m:sub>
              </m:sSub>
            </m:num>
            <m:den>
              <m:sSub>
                <m:sSubPr>
                  <m:ctrlPr>
                    <w:rPr>
                      <w:rFonts w:ascii="Cambria Math" w:hAnsi="Cambria Math" w:cstheme="minorHAnsi"/>
                      <w:i/>
                    </w:rPr>
                  </m:ctrlPr>
                </m:sSubPr>
                <m:e>
                  <m:r>
                    <m:rPr>
                      <m:sty m:val="p"/>
                    </m:rPr>
                    <w:rPr>
                      <w:rFonts w:ascii="Cambria Math" w:hAnsi="Cambria Math" w:cstheme="minorHAnsi"/>
                    </w:rPr>
                    <m:t>Σ</m:t>
                  </m:r>
                  <m:r>
                    <w:rPr>
                      <w:rFonts w:ascii="Cambria Math" w:hAnsi="Cambria Math" w:cstheme="minorHAnsi"/>
                    </w:rPr>
                    <m:t>T</m:t>
                  </m:r>
                </m:e>
                <m:sub>
                  <m:r>
                    <w:rPr>
                      <w:rFonts w:ascii="Cambria Math" w:hAnsi="Cambria Math" w:cstheme="minorHAnsi"/>
                    </w:rPr>
                    <m:t>2020</m:t>
                  </m:r>
                </m:sub>
              </m:sSub>
            </m:den>
          </m:f>
          <m:r>
            <w:rPr>
              <w:rFonts w:ascii="Cambria Math" w:hAnsi="Cambria Math" w:cstheme="minorHAnsi"/>
            </w:rPr>
            <m:t>≤(1+ρ)</m:t>
          </m:r>
        </m:oMath>
      </m:oMathPara>
    </w:p>
    <w:p w:rsidR="005804BE" w:rsidRPr="00BB3584" w:rsidRDefault="00826705" w:rsidP="00826705">
      <w:pPr>
        <w:autoSpaceDE w:val="0"/>
        <w:autoSpaceDN w:val="0"/>
        <w:adjustRightInd w:val="0"/>
      </w:pPr>
      <w:r>
        <w:t xml:space="preserve">Il Comune di </w:t>
      </w:r>
      <w:r w:rsidR="00E8757D">
        <w:t>SAN PIETRO IN GUARANO</w:t>
      </w:r>
      <w:r>
        <w:t xml:space="preserve"> ha determinato i coefficienti relativi al limite di crescita annuale delle entrate tariffarie nell’ambito dell’intervallo di valori determinati dall’Autorità, come indicato dalla tabella che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41"/>
        <w:gridCol w:w="1437"/>
      </w:tblGrid>
      <w:tr w:rsidR="00551FC2" w:rsidRPr="00AE63BA" w:rsidTr="00D468FF">
        <w:trPr>
          <w:trHeight w:val="375"/>
        </w:trPr>
        <w:tc>
          <w:tcPr>
            <w:tcW w:w="4265" w:type="pct"/>
            <w:shd w:val="clear" w:color="auto" w:fill="A8D08D" w:themeFill="accent6" w:themeFillTint="99"/>
            <w:noWrap/>
            <w:vAlign w:val="center"/>
            <w:hideMark/>
          </w:tcPr>
          <w:p w:rsidR="00551FC2" w:rsidRPr="00AE63BA" w:rsidRDefault="00551FC2" w:rsidP="00582C6C">
            <w:pPr>
              <w:jc w:val="left"/>
              <w:rPr>
                <w:b/>
                <w:bCs/>
              </w:rPr>
            </w:pPr>
            <w:r w:rsidRPr="00AE63BA">
              <w:rPr>
                <w:b/>
                <w:bCs/>
              </w:rPr>
              <w:t>Verifica del limite di crescita (parametri)</w:t>
            </w:r>
          </w:p>
        </w:tc>
        <w:tc>
          <w:tcPr>
            <w:tcW w:w="735" w:type="pct"/>
            <w:shd w:val="clear" w:color="auto" w:fill="A8D08D" w:themeFill="accent6" w:themeFillTint="99"/>
            <w:noWrap/>
            <w:vAlign w:val="center"/>
            <w:hideMark/>
          </w:tcPr>
          <w:p w:rsidR="00551FC2" w:rsidRPr="00AE63BA" w:rsidRDefault="000E5F1E" w:rsidP="00582C6C">
            <w:pPr>
              <w:jc w:val="center"/>
              <w:rPr>
                <w:b/>
                <w:bCs/>
              </w:rPr>
            </w:pPr>
            <w:r>
              <w:rPr>
                <w:b/>
                <w:bCs/>
              </w:rPr>
              <w:t>2021</w:t>
            </w:r>
          </w:p>
        </w:tc>
      </w:tr>
      <w:tr w:rsidR="00551FC2" w:rsidRPr="00AE63BA" w:rsidTr="0073659F">
        <w:trPr>
          <w:trHeight w:val="405"/>
        </w:trPr>
        <w:tc>
          <w:tcPr>
            <w:tcW w:w="4265" w:type="pct"/>
            <w:shd w:val="clear" w:color="auto" w:fill="E2EFD9" w:themeFill="accent6" w:themeFillTint="33"/>
            <w:noWrap/>
            <w:vAlign w:val="center"/>
            <w:hideMark/>
          </w:tcPr>
          <w:p w:rsidR="00551FC2" w:rsidRPr="00AE63BA" w:rsidRDefault="00551FC2" w:rsidP="00582C6C">
            <w:pPr>
              <w:jc w:val="left"/>
              <w:rPr>
                <w:i/>
                <w:iCs/>
                <w:color w:val="000000"/>
              </w:rPr>
            </w:pPr>
            <w:r w:rsidRPr="00AE63BA">
              <w:rPr>
                <w:i/>
                <w:iCs/>
                <w:color w:val="000000"/>
              </w:rPr>
              <w:t>rpi</w:t>
            </w:r>
            <w:r w:rsidR="000E5F1E">
              <w:rPr>
                <w:i/>
                <w:iCs/>
                <w:color w:val="000000"/>
                <w:vertAlign w:val="subscript"/>
              </w:rPr>
              <w:t>2021</w:t>
            </w:r>
          </w:p>
        </w:tc>
        <w:tc>
          <w:tcPr>
            <w:tcW w:w="735" w:type="pct"/>
            <w:shd w:val="clear" w:color="auto" w:fill="E2EFD9" w:themeFill="accent6" w:themeFillTint="33"/>
            <w:noWrap/>
            <w:vAlign w:val="center"/>
            <w:hideMark/>
          </w:tcPr>
          <w:p w:rsidR="00551FC2" w:rsidRPr="00AE63BA" w:rsidRDefault="00551FC2" w:rsidP="00582C6C">
            <w:pPr>
              <w:jc w:val="center"/>
              <w:rPr>
                <w:b/>
                <w:bCs/>
                <w:color w:val="000000"/>
              </w:rPr>
            </w:pPr>
            <w:r w:rsidRPr="00AE63BA">
              <w:rPr>
                <w:b/>
                <w:bCs/>
                <w:color w:val="000000"/>
              </w:rPr>
              <w:t>1,70%</w:t>
            </w:r>
          </w:p>
        </w:tc>
      </w:tr>
      <w:tr w:rsidR="00551FC2" w:rsidRPr="00AE63BA" w:rsidTr="00582C6C">
        <w:trPr>
          <w:trHeight w:val="420"/>
        </w:trPr>
        <w:tc>
          <w:tcPr>
            <w:tcW w:w="4265" w:type="pct"/>
            <w:shd w:val="clear" w:color="auto" w:fill="FFFFFF" w:themeFill="background1"/>
            <w:noWrap/>
            <w:vAlign w:val="center"/>
            <w:hideMark/>
          </w:tcPr>
          <w:p w:rsidR="00551FC2" w:rsidRPr="00AE63BA" w:rsidRDefault="00551FC2" w:rsidP="00582C6C">
            <w:pPr>
              <w:jc w:val="left"/>
              <w:rPr>
                <w:color w:val="000000"/>
              </w:rPr>
            </w:pPr>
            <w:r w:rsidRPr="00AE63BA">
              <w:rPr>
                <w:color w:val="000000"/>
              </w:rPr>
              <w:t xml:space="preserve">coefficiente di recupero di produttività – </w:t>
            </w:r>
            <w:r w:rsidRPr="00AE63BA">
              <w:rPr>
                <w:b/>
                <w:bCs/>
                <w:color w:val="000000"/>
              </w:rPr>
              <w:t>X</w:t>
            </w:r>
            <w:r w:rsidR="000E5F1E">
              <w:rPr>
                <w:color w:val="000000"/>
                <w:vertAlign w:val="subscript"/>
              </w:rPr>
              <w:t>2021</w:t>
            </w:r>
          </w:p>
        </w:tc>
        <w:tc>
          <w:tcPr>
            <w:tcW w:w="735" w:type="pct"/>
            <w:shd w:val="clear" w:color="auto" w:fill="FFFFFF" w:themeFill="background1"/>
            <w:noWrap/>
            <w:vAlign w:val="center"/>
            <w:hideMark/>
          </w:tcPr>
          <w:p w:rsidR="00551FC2" w:rsidRPr="00AE63BA" w:rsidRDefault="00551FC2" w:rsidP="00582C6C">
            <w:pPr>
              <w:jc w:val="center"/>
              <w:rPr>
                <w:b/>
                <w:bCs/>
                <w:color w:val="000000"/>
              </w:rPr>
            </w:pPr>
            <w:r w:rsidRPr="00AE63BA">
              <w:rPr>
                <w:b/>
                <w:bCs/>
                <w:color w:val="000000"/>
              </w:rPr>
              <w:t>0,10%</w:t>
            </w:r>
          </w:p>
        </w:tc>
      </w:tr>
      <w:tr w:rsidR="00551FC2" w:rsidRPr="00AE63BA" w:rsidTr="00582C6C">
        <w:trPr>
          <w:trHeight w:val="420"/>
        </w:trPr>
        <w:tc>
          <w:tcPr>
            <w:tcW w:w="4265" w:type="pct"/>
            <w:shd w:val="clear" w:color="auto" w:fill="FFFFFF" w:themeFill="background1"/>
            <w:noWrap/>
            <w:vAlign w:val="center"/>
            <w:hideMark/>
          </w:tcPr>
          <w:p w:rsidR="00551FC2" w:rsidRPr="00AE63BA" w:rsidRDefault="00551FC2" w:rsidP="00582C6C">
            <w:pPr>
              <w:jc w:val="left"/>
              <w:rPr>
                <w:color w:val="000000"/>
              </w:rPr>
            </w:pPr>
            <w:r w:rsidRPr="00AE63BA">
              <w:rPr>
                <w:color w:val="000000"/>
              </w:rPr>
              <w:t>coeff. per il miglioramento previsto della qualità -</w:t>
            </w:r>
            <w:r w:rsidRPr="00AE63BA">
              <w:rPr>
                <w:b/>
                <w:bCs/>
                <w:color w:val="000000"/>
              </w:rPr>
              <w:t xml:space="preserve"> QL</w:t>
            </w:r>
            <w:r w:rsidR="000E5F1E">
              <w:rPr>
                <w:b/>
                <w:bCs/>
                <w:color w:val="000000"/>
                <w:vertAlign w:val="subscript"/>
              </w:rPr>
              <w:t>2021</w:t>
            </w:r>
          </w:p>
        </w:tc>
        <w:tc>
          <w:tcPr>
            <w:tcW w:w="735" w:type="pct"/>
            <w:shd w:val="clear" w:color="auto" w:fill="FFFFFF" w:themeFill="background1"/>
            <w:noWrap/>
            <w:vAlign w:val="center"/>
            <w:hideMark/>
          </w:tcPr>
          <w:p w:rsidR="00551FC2" w:rsidRPr="00AE63BA" w:rsidRDefault="00551FC2" w:rsidP="00582C6C">
            <w:pPr>
              <w:jc w:val="center"/>
              <w:rPr>
                <w:b/>
                <w:bCs/>
                <w:color w:val="000000"/>
              </w:rPr>
            </w:pPr>
            <w:r w:rsidRPr="00AE63BA">
              <w:rPr>
                <w:b/>
                <w:bCs/>
                <w:color w:val="000000"/>
              </w:rPr>
              <w:t>0,00%</w:t>
            </w:r>
          </w:p>
        </w:tc>
      </w:tr>
      <w:tr w:rsidR="00551FC2" w:rsidRPr="00AE63BA" w:rsidTr="00582C6C">
        <w:trPr>
          <w:trHeight w:val="420"/>
        </w:trPr>
        <w:tc>
          <w:tcPr>
            <w:tcW w:w="4265" w:type="pct"/>
            <w:shd w:val="clear" w:color="auto" w:fill="FFFFFF" w:themeFill="background1"/>
            <w:noWrap/>
            <w:vAlign w:val="center"/>
            <w:hideMark/>
          </w:tcPr>
          <w:p w:rsidR="00551FC2" w:rsidRPr="00AE63BA" w:rsidRDefault="00551FC2" w:rsidP="00582C6C">
            <w:pPr>
              <w:jc w:val="left"/>
              <w:rPr>
                <w:color w:val="000000"/>
              </w:rPr>
            </w:pPr>
            <w:r w:rsidRPr="00AE63BA">
              <w:rPr>
                <w:color w:val="000000"/>
              </w:rPr>
              <w:t xml:space="preserve">coeff. per la valorizzazione di modifiche del perimetro gestionale - </w:t>
            </w:r>
            <w:r w:rsidRPr="00AE63BA">
              <w:rPr>
                <w:b/>
                <w:bCs/>
                <w:color w:val="000000"/>
              </w:rPr>
              <w:t>PG</w:t>
            </w:r>
            <w:r w:rsidR="000E5F1E">
              <w:rPr>
                <w:b/>
                <w:bCs/>
                <w:color w:val="000000"/>
                <w:vertAlign w:val="subscript"/>
              </w:rPr>
              <w:t>2021</w:t>
            </w:r>
          </w:p>
        </w:tc>
        <w:tc>
          <w:tcPr>
            <w:tcW w:w="735" w:type="pct"/>
            <w:shd w:val="clear" w:color="auto" w:fill="FFFFFF" w:themeFill="background1"/>
            <w:noWrap/>
            <w:vAlign w:val="center"/>
            <w:hideMark/>
          </w:tcPr>
          <w:p w:rsidR="00551FC2" w:rsidRPr="00AE63BA" w:rsidRDefault="00551FC2" w:rsidP="00582C6C">
            <w:pPr>
              <w:jc w:val="center"/>
              <w:rPr>
                <w:b/>
                <w:bCs/>
                <w:color w:val="000000"/>
              </w:rPr>
            </w:pPr>
            <w:r w:rsidRPr="00AE63BA">
              <w:rPr>
                <w:b/>
                <w:bCs/>
                <w:color w:val="000000"/>
              </w:rPr>
              <w:t>0,00%</w:t>
            </w:r>
          </w:p>
        </w:tc>
      </w:tr>
      <w:tr w:rsidR="00551FC2" w:rsidRPr="00AE63BA" w:rsidTr="00582C6C">
        <w:trPr>
          <w:trHeight w:val="420"/>
        </w:trPr>
        <w:tc>
          <w:tcPr>
            <w:tcW w:w="4265" w:type="pct"/>
            <w:shd w:val="clear" w:color="auto" w:fill="FFFFFF" w:themeFill="background1"/>
            <w:noWrap/>
            <w:vAlign w:val="center"/>
          </w:tcPr>
          <w:p w:rsidR="00551FC2" w:rsidRPr="00AE63BA" w:rsidRDefault="00551FC2" w:rsidP="00582C6C">
            <w:pPr>
              <w:jc w:val="left"/>
              <w:rPr>
                <w:color w:val="000000"/>
              </w:rPr>
            </w:pPr>
            <w:r w:rsidRPr="00AE63BA">
              <w:rPr>
                <w:color w:val="000000"/>
              </w:rPr>
              <w:t xml:space="preserve">coeff. per l'emergenza COVID-19 - </w:t>
            </w:r>
            <w:r w:rsidRPr="00AE63BA">
              <w:rPr>
                <w:b/>
                <w:bCs/>
                <w:color w:val="000000"/>
              </w:rPr>
              <w:t>C19</w:t>
            </w:r>
            <w:r w:rsidR="000E5F1E">
              <w:rPr>
                <w:b/>
                <w:bCs/>
                <w:color w:val="000000"/>
                <w:vertAlign w:val="subscript"/>
              </w:rPr>
              <w:t>2021</w:t>
            </w:r>
          </w:p>
        </w:tc>
        <w:tc>
          <w:tcPr>
            <w:tcW w:w="735" w:type="pct"/>
            <w:shd w:val="clear" w:color="auto" w:fill="FFFFFF" w:themeFill="background1"/>
            <w:noWrap/>
            <w:vAlign w:val="center"/>
          </w:tcPr>
          <w:p w:rsidR="00551FC2" w:rsidRPr="00AE63BA" w:rsidRDefault="003D2FA1" w:rsidP="00582C6C">
            <w:pPr>
              <w:jc w:val="center"/>
              <w:rPr>
                <w:b/>
                <w:bCs/>
                <w:color w:val="000000"/>
              </w:rPr>
            </w:pPr>
            <w:r>
              <w:rPr>
                <w:b/>
                <w:bCs/>
                <w:color w:val="000000"/>
              </w:rPr>
              <w:t>0</w:t>
            </w:r>
            <w:r w:rsidR="00551FC2" w:rsidRPr="00AE63BA">
              <w:rPr>
                <w:b/>
                <w:bCs/>
                <w:color w:val="000000"/>
              </w:rPr>
              <w:t>,00%</w:t>
            </w:r>
          </w:p>
        </w:tc>
      </w:tr>
      <w:tr w:rsidR="00551FC2" w:rsidRPr="00AE63BA" w:rsidTr="0073659F">
        <w:trPr>
          <w:trHeight w:val="360"/>
        </w:trPr>
        <w:tc>
          <w:tcPr>
            <w:tcW w:w="4265" w:type="pct"/>
            <w:shd w:val="clear" w:color="auto" w:fill="A8D08D" w:themeFill="accent6" w:themeFillTint="99"/>
            <w:noWrap/>
            <w:vAlign w:val="center"/>
            <w:hideMark/>
          </w:tcPr>
          <w:p w:rsidR="00551FC2" w:rsidRPr="00AE63BA" w:rsidRDefault="00551FC2" w:rsidP="00582C6C">
            <w:pPr>
              <w:jc w:val="left"/>
              <w:rPr>
                <w:b/>
                <w:bCs/>
                <w:color w:val="000000"/>
              </w:rPr>
            </w:pPr>
            <w:r w:rsidRPr="00AE63BA">
              <w:rPr>
                <w:b/>
                <w:bCs/>
                <w:color w:val="000000"/>
              </w:rPr>
              <w:t xml:space="preserve">Parametro per la determinazione del limite alla crescita delle tariffe - </w:t>
            </w:r>
            <w:r w:rsidRPr="00AE63BA">
              <w:rPr>
                <w:rFonts w:ascii="Cambria Math" w:eastAsia="CambriaMath" w:hAnsi="Cambria Math" w:cs="Cambria Math"/>
              </w:rPr>
              <w:t>𝜌</w:t>
            </w:r>
          </w:p>
        </w:tc>
        <w:tc>
          <w:tcPr>
            <w:tcW w:w="735" w:type="pct"/>
            <w:shd w:val="clear" w:color="auto" w:fill="A8D08D" w:themeFill="accent6" w:themeFillTint="99"/>
            <w:noWrap/>
            <w:vAlign w:val="center"/>
            <w:hideMark/>
          </w:tcPr>
          <w:p w:rsidR="00551FC2" w:rsidRPr="00AE63BA" w:rsidRDefault="00551FC2" w:rsidP="00582C6C">
            <w:pPr>
              <w:jc w:val="center"/>
              <w:rPr>
                <w:b/>
                <w:bCs/>
                <w:color w:val="000000"/>
              </w:rPr>
            </w:pPr>
            <w:r>
              <w:rPr>
                <w:b/>
                <w:bCs/>
                <w:color w:val="000000"/>
              </w:rPr>
              <w:t>1</w:t>
            </w:r>
            <w:r w:rsidRPr="00AE63BA">
              <w:rPr>
                <w:b/>
                <w:bCs/>
                <w:color w:val="000000"/>
              </w:rPr>
              <w:t>,60%</w:t>
            </w:r>
          </w:p>
        </w:tc>
      </w:tr>
      <w:tr w:rsidR="00551FC2" w:rsidRPr="00AE63BA" w:rsidTr="0073659F">
        <w:trPr>
          <w:trHeight w:val="450"/>
        </w:trPr>
        <w:tc>
          <w:tcPr>
            <w:tcW w:w="4265" w:type="pct"/>
            <w:shd w:val="clear" w:color="auto" w:fill="A8D08D" w:themeFill="accent6" w:themeFillTint="99"/>
            <w:noWrap/>
            <w:vAlign w:val="center"/>
            <w:hideMark/>
          </w:tcPr>
          <w:p w:rsidR="00551FC2" w:rsidRPr="00AE63BA" w:rsidRDefault="00551FC2" w:rsidP="00582C6C">
            <w:pPr>
              <w:jc w:val="left"/>
              <w:rPr>
                <w:b/>
                <w:bCs/>
                <w:color w:val="000000"/>
              </w:rPr>
            </w:pPr>
            <w:r w:rsidRPr="00AE63BA">
              <w:rPr>
                <w:b/>
                <w:bCs/>
                <w:color w:val="000000"/>
              </w:rPr>
              <w:t>(1+</w:t>
            </w:r>
            <w:r w:rsidRPr="00AE63BA">
              <w:rPr>
                <w:rFonts w:ascii="Cambria Math" w:eastAsia="CambriaMath" w:hAnsi="Cambria Math" w:cs="Cambria Math"/>
              </w:rPr>
              <w:t>𝜌</w:t>
            </w:r>
            <w:r w:rsidR="000E5F1E">
              <w:rPr>
                <w:rFonts w:eastAsia="CambriaMath"/>
              </w:rPr>
              <w:t>2021</w:t>
            </w:r>
            <w:r w:rsidRPr="00AE63BA">
              <w:rPr>
                <w:b/>
                <w:bCs/>
                <w:color w:val="000000"/>
              </w:rPr>
              <w:t>)</w:t>
            </w:r>
          </w:p>
        </w:tc>
        <w:tc>
          <w:tcPr>
            <w:tcW w:w="735" w:type="pct"/>
            <w:shd w:val="clear" w:color="auto" w:fill="A8D08D" w:themeFill="accent6" w:themeFillTint="99"/>
            <w:noWrap/>
            <w:vAlign w:val="center"/>
            <w:hideMark/>
          </w:tcPr>
          <w:p w:rsidR="00551FC2" w:rsidRPr="00AE63BA" w:rsidRDefault="001871BE" w:rsidP="00582C6C">
            <w:pPr>
              <w:jc w:val="center"/>
              <w:rPr>
                <w:b/>
                <w:bCs/>
                <w:color w:val="000000"/>
              </w:rPr>
            </w:pPr>
            <w:r>
              <w:rPr>
                <w:b/>
                <w:bCs/>
                <w:color w:val="000000"/>
              </w:rPr>
              <w:t>1,016</w:t>
            </w:r>
          </w:p>
        </w:tc>
      </w:tr>
    </w:tbl>
    <w:p w:rsidR="000B659B" w:rsidRDefault="000B659B" w:rsidP="00551FC2">
      <w:pPr>
        <w:rPr>
          <w:rFonts w:cstheme="minorHAnsi"/>
        </w:rPr>
      </w:pPr>
    </w:p>
    <w:p w:rsidR="00551FC2" w:rsidRDefault="00551FC2" w:rsidP="00551FC2">
      <w:pPr>
        <w:rPr>
          <w:rFonts w:cstheme="minorHAnsi"/>
        </w:rPr>
      </w:pPr>
      <w:r w:rsidRPr="00BB3584">
        <w:rPr>
          <w:rFonts w:cstheme="minorHAnsi"/>
        </w:rPr>
        <w:t xml:space="preserve">Nel </w:t>
      </w:r>
      <w:r w:rsidR="000E5F1E" w:rsidRPr="00BB3584">
        <w:rPr>
          <w:rFonts w:cstheme="minorHAnsi"/>
        </w:rPr>
        <w:t>2021</w:t>
      </w:r>
      <w:r w:rsidRPr="00BB3584">
        <w:rPr>
          <w:rFonts w:cstheme="minorHAnsi"/>
        </w:rPr>
        <w:t xml:space="preserve"> non sono stati individuati obiettivi di miglioramento della qualità e dellecaratteristiche delle prestazioni erogate e non sono state previste modificheal perimetro gestionale, conseguentemente ponendo pari a 0,0% entrambii coefficienti </w:t>
      </w:r>
      <w:r w:rsidRPr="00BB3584">
        <w:rPr>
          <w:rFonts w:ascii="Cambria Math" w:hAnsi="Cambria Math" w:cs="Cambria Math"/>
        </w:rPr>
        <w:t>𝑄𝐿𝑎</w:t>
      </w:r>
      <w:r w:rsidRPr="00BB3584">
        <w:rPr>
          <w:rFonts w:cstheme="minorHAnsi"/>
        </w:rPr>
        <w:t xml:space="preserve"> e </w:t>
      </w:r>
      <w:r w:rsidRPr="00BB3584">
        <w:rPr>
          <w:rFonts w:ascii="Cambria Math" w:hAnsi="Cambria Math" w:cs="Cambria Math"/>
        </w:rPr>
        <w:t>𝑃𝐺𝑎</w:t>
      </w:r>
      <w:r w:rsidRPr="00BB3584">
        <w:rPr>
          <w:rFonts w:cstheme="minorHAnsi"/>
        </w:rPr>
        <w:t>, secondo quanto indicato per lo Schema I dellamatrice di cui al comma 4.4 del MTR.</w:t>
      </w:r>
    </w:p>
    <w:p w:rsidR="00551FC2" w:rsidRDefault="00551FC2" w:rsidP="00BB3584">
      <w:pPr>
        <w:autoSpaceDE w:val="0"/>
        <w:autoSpaceDN w:val="0"/>
        <w:adjustRightInd w:val="0"/>
      </w:pPr>
      <w:r>
        <w:rPr>
          <w:rFonts w:cstheme="minorHAnsi"/>
        </w:rPr>
        <w:t>Non è</w:t>
      </w:r>
      <w:r w:rsidRPr="00EC069B">
        <w:rPr>
          <w:rFonts w:cstheme="minorHAnsi"/>
        </w:rPr>
        <w:t xml:space="preserve"> stata esercitata la facoltà (introdotta, dalla deliberazione238/</w:t>
      </w:r>
      <w:r w:rsidR="000E5F1E">
        <w:rPr>
          <w:rFonts w:cstheme="minorHAnsi"/>
        </w:rPr>
        <w:t>202</w:t>
      </w:r>
      <w:r w:rsidR="004E5B2C">
        <w:rPr>
          <w:rFonts w:cstheme="minorHAnsi"/>
        </w:rPr>
        <w:t>0</w:t>
      </w:r>
      <w:r w:rsidRPr="00EC069B">
        <w:rPr>
          <w:rFonts w:cstheme="minorHAnsi"/>
        </w:rPr>
        <w:t>/R/RIF, a sostegno di obiettivi specifici connessi alle condizioniemergenziali da COVID-19) di valorizzare il coefficiente</w:t>
      </w:r>
      <w:r w:rsidRPr="004E5B2C">
        <w:t>aggiuntivo</w:t>
      </w:r>
      <w:r w:rsidRPr="004E5B2C">
        <w:rPr>
          <w:color w:val="000000"/>
          <w:sz w:val="20"/>
          <w:szCs w:val="20"/>
        </w:rPr>
        <w:t xml:space="preserve"> C19</w:t>
      </w:r>
      <w:r w:rsidR="000E5F1E" w:rsidRPr="004E5B2C">
        <w:rPr>
          <w:color w:val="000000"/>
          <w:sz w:val="20"/>
          <w:szCs w:val="20"/>
          <w:vertAlign w:val="subscript"/>
        </w:rPr>
        <w:t>2021</w:t>
      </w:r>
      <w:r w:rsidRPr="004E5B2C">
        <w:t>.</w:t>
      </w:r>
    </w:p>
    <w:p w:rsidR="004E5B2C" w:rsidRDefault="00551FC2" w:rsidP="00551FC2">
      <w:pPr>
        <w:pStyle w:val="Default"/>
        <w:jc w:val="both"/>
      </w:pPr>
      <w:r w:rsidRPr="00AE63BA">
        <w:t xml:space="preserve">Il limite di crescita annuale delle entrate tariffarie del Comune di </w:t>
      </w:r>
      <w:r w:rsidR="00E8757D">
        <w:t>SAN PIETRO IN GUARANO</w:t>
      </w:r>
      <w:r w:rsidRPr="00AE63BA">
        <w:t xml:space="preserve">viene rispettato </w:t>
      </w:r>
      <w:r>
        <w:t xml:space="preserve">in quanto, </w:t>
      </w:r>
      <w:r w:rsidRPr="00AE63BA">
        <w:t xml:space="preserve">il rapporto tra il totale delle entrate tariffarie dell’anno </w:t>
      </w:r>
      <w:r w:rsidR="000E5F1E">
        <w:t>2021</w:t>
      </w:r>
      <w:r w:rsidRPr="00AE63BA">
        <w:t xml:space="preserve"> e il totale delle entrate tariffarie del 20</w:t>
      </w:r>
      <w:r w:rsidR="003C022C">
        <w:t>20</w:t>
      </w:r>
      <w:r w:rsidRPr="00AE63BA">
        <w:t xml:space="preserve"> è </w:t>
      </w:r>
      <w:r w:rsidR="00421EF3">
        <w:rPr>
          <w:b/>
          <w:bCs/>
        </w:rPr>
        <w:t>pari</w:t>
      </w:r>
      <w:r w:rsidRPr="00AE63BA">
        <w:t xml:space="preserve"> al range individuato dall’articolo 4 dell’allegato A della delibera n.443/2019)</w:t>
      </w:r>
      <w:r>
        <w:t>.</w:t>
      </w:r>
    </w:p>
    <w:tbl>
      <w:tblPr>
        <w:tblStyle w:val="Grigliatabella"/>
        <w:tblW w:w="0" w:type="auto"/>
        <w:tblLook w:val="04A0"/>
      </w:tblPr>
      <w:tblGrid>
        <w:gridCol w:w="7838"/>
        <w:gridCol w:w="1790"/>
      </w:tblGrid>
      <w:tr w:rsidR="00916751" w:rsidRPr="0054264F" w:rsidTr="009850F4">
        <w:tc>
          <w:tcPr>
            <w:tcW w:w="7838" w:type="dxa"/>
          </w:tcPr>
          <w:p w:rsidR="00916751" w:rsidRPr="002361AB" w:rsidRDefault="005E38AD" w:rsidP="00582C6C">
            <m:oMathPara>
              <m:oMathParaPr>
                <m:jc m:val="left"/>
              </m:oMathParaPr>
              <m:oMath>
                <m:sSub>
                  <m:sSubPr>
                    <m:ctrlPr>
                      <w:rPr>
                        <w:rFonts w:ascii="Cambria Math" w:hAnsi="Cambria Math"/>
                      </w:rPr>
                    </m:ctrlPr>
                  </m:sSubPr>
                  <m:e>
                    <m:r>
                      <m:rPr>
                        <m:sty m:val="p"/>
                      </m:rPr>
                      <w:rPr>
                        <w:rFonts w:ascii="Cambria Math" w:hAnsi="Cambria Math"/>
                      </w:rPr>
                      <m:t>Σ</m:t>
                    </m:r>
                    <m:r>
                      <w:rPr>
                        <w:rFonts w:ascii="Cambria Math" w:hAnsi="Cambria Math"/>
                      </w:rPr>
                      <m:t>T</m:t>
                    </m:r>
                  </m:e>
                  <m:sub>
                    <m:r>
                      <w:rPr>
                        <w:rFonts w:ascii="Cambria Math" w:hAnsi="Cambria Math"/>
                      </w:rPr>
                      <m:t>2019</m:t>
                    </m:r>
                  </m:sub>
                </m:sSub>
              </m:oMath>
            </m:oMathPara>
          </w:p>
        </w:tc>
        <w:tc>
          <w:tcPr>
            <w:tcW w:w="1790" w:type="dxa"/>
          </w:tcPr>
          <w:p w:rsidR="00916751" w:rsidRDefault="00916751" w:rsidP="00E64F86">
            <w:pPr>
              <w:jc w:val="right"/>
              <w:rPr>
                <w:b/>
                <w:bCs/>
                <w:color w:val="000000"/>
                <w:sz w:val="22"/>
                <w:szCs w:val="22"/>
              </w:rPr>
            </w:pPr>
            <w:r>
              <w:rPr>
                <w:b/>
                <w:bCs/>
                <w:color w:val="000000"/>
                <w:sz w:val="22"/>
                <w:szCs w:val="22"/>
              </w:rPr>
              <w:t>482.618,82</w:t>
            </w:r>
          </w:p>
        </w:tc>
      </w:tr>
      <w:tr w:rsidR="00916751" w:rsidRPr="0054264F" w:rsidTr="009850F4">
        <w:tc>
          <w:tcPr>
            <w:tcW w:w="7838" w:type="dxa"/>
          </w:tcPr>
          <w:p w:rsidR="00916751" w:rsidRPr="002361AB" w:rsidRDefault="00916751" w:rsidP="00582C6C"/>
        </w:tc>
        <w:tc>
          <w:tcPr>
            <w:tcW w:w="1790" w:type="dxa"/>
          </w:tcPr>
          <w:p w:rsidR="00916751" w:rsidRDefault="00916751" w:rsidP="00E64F86">
            <w:pPr>
              <w:jc w:val="right"/>
              <w:rPr>
                <w:b/>
                <w:bCs/>
                <w:color w:val="000000"/>
                <w:sz w:val="22"/>
                <w:szCs w:val="22"/>
              </w:rPr>
            </w:pPr>
          </w:p>
        </w:tc>
      </w:tr>
      <w:tr w:rsidR="00551FC2" w:rsidRPr="0054264F" w:rsidTr="009850F4">
        <w:tc>
          <w:tcPr>
            <w:tcW w:w="7838" w:type="dxa"/>
          </w:tcPr>
          <w:p w:rsidR="00551FC2" w:rsidRPr="0054264F" w:rsidRDefault="005E38AD" w:rsidP="00582C6C">
            <m:oMathPara>
              <m:oMathParaPr>
                <m:jc m:val="left"/>
              </m:oMathParaPr>
              <m:oMath>
                <m:sSub>
                  <m:sSubPr>
                    <m:ctrlPr>
                      <w:rPr>
                        <w:rFonts w:ascii="Cambria Math" w:hAnsi="Cambria Math"/>
                      </w:rPr>
                    </m:ctrlPr>
                  </m:sSubPr>
                  <m:e>
                    <m:r>
                      <m:rPr>
                        <m:sty m:val="p"/>
                      </m:rPr>
                      <w:rPr>
                        <w:rFonts w:ascii="Cambria Math" w:hAnsi="Cambria Math"/>
                      </w:rPr>
                      <m:t>Σ</m:t>
                    </m:r>
                    <m:r>
                      <w:rPr>
                        <w:rFonts w:ascii="Cambria Math" w:hAnsi="Cambria Math"/>
                      </w:rPr>
                      <m:t>T</m:t>
                    </m:r>
                  </m:e>
                  <m:sub>
                    <m:r>
                      <w:rPr>
                        <w:rFonts w:ascii="Cambria Math" w:hAnsi="Cambria Math"/>
                      </w:rPr>
                      <m:t>2020</m:t>
                    </m:r>
                  </m:sub>
                </m:sSub>
              </m:oMath>
            </m:oMathPara>
          </w:p>
        </w:tc>
        <w:tc>
          <w:tcPr>
            <w:tcW w:w="1790" w:type="dxa"/>
          </w:tcPr>
          <w:p w:rsidR="00551FC2" w:rsidRPr="0054264F" w:rsidRDefault="00BB0F24" w:rsidP="00E64F86">
            <w:pPr>
              <w:jc w:val="right"/>
              <w:rPr>
                <w:b/>
                <w:bCs/>
                <w:color w:val="000000"/>
                <w:sz w:val="22"/>
                <w:szCs w:val="22"/>
              </w:rPr>
            </w:pPr>
            <w:r>
              <w:rPr>
                <w:b/>
                <w:bCs/>
                <w:color w:val="000000"/>
                <w:sz w:val="22"/>
                <w:szCs w:val="22"/>
              </w:rPr>
              <w:t>482.618,82</w:t>
            </w:r>
          </w:p>
        </w:tc>
      </w:tr>
      <w:tr w:rsidR="00551FC2" w:rsidRPr="0054264F" w:rsidTr="009850F4">
        <w:tc>
          <w:tcPr>
            <w:tcW w:w="7838" w:type="dxa"/>
          </w:tcPr>
          <w:p w:rsidR="00551FC2" w:rsidRPr="0054264F" w:rsidRDefault="00551FC2" w:rsidP="00582C6C"/>
        </w:tc>
        <w:tc>
          <w:tcPr>
            <w:tcW w:w="1790" w:type="dxa"/>
          </w:tcPr>
          <w:p w:rsidR="00551FC2" w:rsidRPr="0054264F" w:rsidRDefault="00551FC2" w:rsidP="00582C6C">
            <w:pPr>
              <w:jc w:val="right"/>
            </w:pPr>
          </w:p>
        </w:tc>
      </w:tr>
      <w:tr w:rsidR="00551FC2" w:rsidRPr="0054264F" w:rsidTr="009850F4">
        <w:tc>
          <w:tcPr>
            <w:tcW w:w="7838" w:type="dxa"/>
          </w:tcPr>
          <w:p w:rsidR="00551FC2" w:rsidRPr="0054264F" w:rsidRDefault="005E38AD" w:rsidP="00582C6C">
            <w:pPr>
              <w:rPr>
                <w:sz w:val="22"/>
                <w:szCs w:val="22"/>
              </w:rPr>
            </w:pPr>
            <m:oMath>
              <m:sSub>
                <m:sSubPr>
                  <m:ctrlPr>
                    <w:rPr>
                      <w:rFonts w:ascii="Cambria Math" w:hAnsi="Cambria Math"/>
                      <w:sz w:val="22"/>
                      <w:szCs w:val="22"/>
                    </w:rPr>
                  </m:ctrlPr>
                </m:sSubPr>
                <m:e>
                  <m:r>
                    <m:rPr>
                      <m:sty m:val="p"/>
                    </m:rPr>
                    <w:rPr>
                      <w:rFonts w:ascii="Cambria Math" w:hAnsi="Cambria Math"/>
                      <w:sz w:val="22"/>
                      <w:szCs w:val="22"/>
                    </w:rPr>
                    <m:t>Σ</m:t>
                  </m:r>
                  <m:r>
                    <w:rPr>
                      <w:rFonts w:ascii="Cambria Math" w:hAnsi="Cambria Math"/>
                      <w:sz w:val="22"/>
                      <w:szCs w:val="22"/>
                    </w:rPr>
                    <m:t>T</m:t>
                  </m:r>
                </m:e>
                <m:sub>
                  <m:r>
                    <w:rPr>
                      <w:rFonts w:ascii="Cambria Math" w:hAnsi="Cambria Math"/>
                      <w:sz w:val="22"/>
                      <w:szCs w:val="22"/>
                    </w:rPr>
                    <m:t>2021,  max</m:t>
                  </m:r>
                </m:sub>
              </m:sSub>
            </m:oMath>
            <w:r w:rsidR="00551FC2" w:rsidRPr="0054264F">
              <w:rPr>
                <w:color w:val="000000"/>
                <w:sz w:val="22"/>
                <w:szCs w:val="22"/>
              </w:rPr>
              <w:t xml:space="preserve"> (entrate tariffarie massime applicabili nel rispetto del limite di crescita)</w:t>
            </w:r>
          </w:p>
        </w:tc>
        <w:tc>
          <w:tcPr>
            <w:tcW w:w="1790" w:type="dxa"/>
            <w:vAlign w:val="center"/>
          </w:tcPr>
          <w:p w:rsidR="00551FC2" w:rsidRPr="0054264F" w:rsidRDefault="00BB0F24" w:rsidP="00E64F86">
            <w:pPr>
              <w:jc w:val="right"/>
              <w:rPr>
                <w:color w:val="000000"/>
                <w:sz w:val="22"/>
                <w:szCs w:val="22"/>
              </w:rPr>
            </w:pPr>
            <w:r>
              <w:rPr>
                <w:b/>
                <w:bCs/>
                <w:color w:val="000000"/>
                <w:sz w:val="22"/>
                <w:szCs w:val="22"/>
              </w:rPr>
              <w:t>482.618,82</w:t>
            </w:r>
          </w:p>
        </w:tc>
      </w:tr>
      <w:tr w:rsidR="00074CF8" w:rsidRPr="0054264F" w:rsidTr="009850F4">
        <w:tc>
          <w:tcPr>
            <w:tcW w:w="7838" w:type="dxa"/>
          </w:tcPr>
          <w:p w:rsidR="00074CF8" w:rsidRPr="002361AB" w:rsidRDefault="00074CF8" w:rsidP="00582C6C">
            <w:pPr>
              <w:rPr>
                <w:sz w:val="22"/>
                <w:szCs w:val="22"/>
              </w:rPr>
            </w:pPr>
          </w:p>
        </w:tc>
        <w:tc>
          <w:tcPr>
            <w:tcW w:w="1790" w:type="dxa"/>
            <w:vAlign w:val="center"/>
          </w:tcPr>
          <w:p w:rsidR="00074CF8" w:rsidRPr="0054264F" w:rsidRDefault="00074CF8" w:rsidP="00E64F86">
            <w:pPr>
              <w:jc w:val="right"/>
              <w:rPr>
                <w:color w:val="000000"/>
                <w:sz w:val="22"/>
                <w:szCs w:val="22"/>
              </w:rPr>
            </w:pPr>
          </w:p>
        </w:tc>
      </w:tr>
      <w:tr w:rsidR="00551FC2" w:rsidRPr="0054264F" w:rsidTr="00CE03C7">
        <w:tc>
          <w:tcPr>
            <w:tcW w:w="7838" w:type="dxa"/>
            <w:shd w:val="clear" w:color="auto" w:fill="A8D08D" w:themeFill="accent6" w:themeFillTint="99"/>
          </w:tcPr>
          <w:p w:rsidR="00551FC2" w:rsidRPr="0054264F" w:rsidRDefault="005E38AD" w:rsidP="00582C6C">
            <w:pPr>
              <w:rPr>
                <w:color w:val="000000"/>
              </w:rPr>
            </w:pPr>
            <m:oMathPara>
              <m:oMathParaPr>
                <m:jc m:val="left"/>
              </m:oMathParaPr>
              <m:oMath>
                <m:sSub>
                  <m:sSubPr>
                    <m:ctrlPr>
                      <w:rPr>
                        <w:rFonts w:ascii="Cambria Math" w:hAnsi="Cambria Math"/>
                        <w:b/>
                        <w:bCs/>
                      </w:rPr>
                    </m:ctrlPr>
                  </m:sSubPr>
                  <m:e>
                    <m:r>
                      <m:rPr>
                        <m:sty m:val="b"/>
                      </m:rPr>
                      <w:rPr>
                        <w:rFonts w:ascii="Cambria Math" w:hAnsi="Cambria Math"/>
                      </w:rPr>
                      <m:t>Σ</m:t>
                    </m:r>
                    <m:r>
                      <m:rPr>
                        <m:sty m:val="bi"/>
                      </m:rPr>
                      <w:rPr>
                        <w:rFonts w:ascii="Cambria Math" w:hAnsi="Cambria Math"/>
                      </w:rPr>
                      <m:t>T</m:t>
                    </m:r>
                  </m:e>
                  <m:sub>
                    <m:r>
                      <m:rPr>
                        <m:sty m:val="bi"/>
                      </m:rPr>
                      <w:rPr>
                        <w:rFonts w:ascii="Cambria Math" w:hAnsi="Cambria Math"/>
                      </w:rPr>
                      <m:t>2021</m:t>
                    </m:r>
                  </m:sub>
                </m:sSub>
              </m:oMath>
            </m:oMathPara>
          </w:p>
        </w:tc>
        <w:tc>
          <w:tcPr>
            <w:tcW w:w="1790" w:type="dxa"/>
            <w:shd w:val="clear" w:color="auto" w:fill="A8D08D" w:themeFill="accent6" w:themeFillTint="99"/>
          </w:tcPr>
          <w:p w:rsidR="00551FC2" w:rsidRPr="00421EF3" w:rsidRDefault="00421EF3" w:rsidP="00154782">
            <w:pPr>
              <w:jc w:val="right"/>
              <w:rPr>
                <w:b/>
                <w:bCs/>
                <w:color w:val="000000"/>
                <w:sz w:val="22"/>
                <w:szCs w:val="22"/>
              </w:rPr>
            </w:pPr>
            <w:r w:rsidRPr="00421EF3">
              <w:rPr>
                <w:b/>
                <w:bCs/>
                <w:color w:val="000000"/>
                <w:sz w:val="22"/>
                <w:szCs w:val="22"/>
              </w:rPr>
              <w:t>482.618,82</w:t>
            </w:r>
          </w:p>
        </w:tc>
      </w:tr>
      <w:tr w:rsidR="009850F4" w:rsidRPr="0054264F" w:rsidTr="009850F4">
        <w:tc>
          <w:tcPr>
            <w:tcW w:w="7838" w:type="dxa"/>
            <w:vAlign w:val="center"/>
          </w:tcPr>
          <w:p w:rsidR="009850F4" w:rsidRPr="0054264F" w:rsidRDefault="009850F4" w:rsidP="00582C6C"/>
        </w:tc>
        <w:tc>
          <w:tcPr>
            <w:tcW w:w="1790" w:type="dxa"/>
          </w:tcPr>
          <w:p w:rsidR="009850F4" w:rsidRPr="0054264F" w:rsidRDefault="009850F4" w:rsidP="00582C6C">
            <w:pPr>
              <w:jc w:val="right"/>
              <w:rPr>
                <w:b/>
                <w:bCs/>
              </w:rPr>
            </w:pPr>
          </w:p>
        </w:tc>
      </w:tr>
      <w:tr w:rsidR="009850F4" w:rsidRPr="0054264F" w:rsidTr="00CE03C7">
        <w:trPr>
          <w:trHeight w:val="397"/>
        </w:trPr>
        <w:tc>
          <w:tcPr>
            <w:tcW w:w="7838" w:type="dxa"/>
            <w:shd w:val="clear" w:color="auto" w:fill="A8D08D" w:themeFill="accent6" w:themeFillTint="99"/>
            <w:vAlign w:val="center"/>
          </w:tcPr>
          <w:p w:rsidR="009850F4" w:rsidRPr="0054264F" w:rsidRDefault="009850F4" w:rsidP="00582C6C">
            <w:pPr>
              <w:rPr>
                <w:b/>
                <w:bCs/>
              </w:rPr>
            </w:pPr>
            <w:r w:rsidRPr="0054264F">
              <w:rPr>
                <w:color w:val="000000"/>
              </w:rPr>
              <w:t>∑T</w:t>
            </w:r>
            <w:r w:rsidR="000E5F1E">
              <w:rPr>
                <w:color w:val="000000"/>
                <w:vertAlign w:val="subscript"/>
              </w:rPr>
              <w:t>2021</w:t>
            </w:r>
            <w:r w:rsidRPr="0054264F">
              <w:rPr>
                <w:color w:val="000000"/>
                <w:vertAlign w:val="subscript"/>
              </w:rPr>
              <w:t>/</w:t>
            </w:r>
            <w:r w:rsidRPr="0054264F">
              <w:rPr>
                <w:color w:val="000000"/>
              </w:rPr>
              <w:t>∑T</w:t>
            </w:r>
            <w:r w:rsidRPr="0054264F">
              <w:rPr>
                <w:color w:val="000000"/>
                <w:vertAlign w:val="subscript"/>
              </w:rPr>
              <w:t>20</w:t>
            </w:r>
            <w:r w:rsidR="00AE0DCD">
              <w:rPr>
                <w:color w:val="000000"/>
                <w:vertAlign w:val="subscript"/>
              </w:rPr>
              <w:t>20</w:t>
            </w:r>
          </w:p>
        </w:tc>
        <w:tc>
          <w:tcPr>
            <w:tcW w:w="1790" w:type="dxa"/>
            <w:shd w:val="clear" w:color="auto" w:fill="A8D08D" w:themeFill="accent6" w:themeFillTint="99"/>
            <w:vAlign w:val="center"/>
          </w:tcPr>
          <w:p w:rsidR="009850F4" w:rsidRPr="0054264F" w:rsidRDefault="005804BE" w:rsidP="007F3BBC">
            <w:pPr>
              <w:jc w:val="right"/>
              <w:rPr>
                <w:b/>
                <w:bCs/>
              </w:rPr>
            </w:pPr>
            <w:r>
              <w:rPr>
                <w:b/>
                <w:bCs/>
              </w:rPr>
              <w:t>1,0</w:t>
            </w:r>
            <w:r w:rsidR="00F17C7B">
              <w:rPr>
                <w:b/>
                <w:bCs/>
              </w:rPr>
              <w:t>000</w:t>
            </w:r>
          </w:p>
        </w:tc>
      </w:tr>
      <w:tr w:rsidR="00551FC2" w:rsidRPr="0054264F" w:rsidTr="009850F4">
        <w:tc>
          <w:tcPr>
            <w:tcW w:w="7838" w:type="dxa"/>
          </w:tcPr>
          <w:p w:rsidR="00551FC2" w:rsidRPr="0054264F" w:rsidRDefault="00551FC2" w:rsidP="00582C6C"/>
        </w:tc>
        <w:tc>
          <w:tcPr>
            <w:tcW w:w="1790" w:type="dxa"/>
          </w:tcPr>
          <w:p w:rsidR="00551FC2" w:rsidRPr="0054264F" w:rsidRDefault="00551FC2" w:rsidP="00582C6C">
            <w:pPr>
              <w:jc w:val="right"/>
            </w:pPr>
          </w:p>
        </w:tc>
      </w:tr>
      <w:tr w:rsidR="00551FC2" w:rsidRPr="0054264F" w:rsidTr="00CE03C7">
        <w:tc>
          <w:tcPr>
            <w:tcW w:w="7838" w:type="dxa"/>
            <w:shd w:val="clear" w:color="auto" w:fill="A8D08D" w:themeFill="accent6" w:themeFillTint="99"/>
          </w:tcPr>
          <w:p w:rsidR="00551FC2" w:rsidRPr="0054264F" w:rsidRDefault="00551FC2" w:rsidP="00582C6C">
            <w:pPr>
              <w:rPr>
                <w:b/>
                <w:bCs/>
                <w:color w:val="000000"/>
              </w:rPr>
            </w:pPr>
            <w:r w:rsidRPr="0054264F">
              <w:rPr>
                <w:b/>
                <w:bCs/>
                <w:color w:val="000000"/>
              </w:rPr>
              <w:t>Delta =</w:t>
            </w:r>
            <m:oMath>
              <m:sSub>
                <m:sSubPr>
                  <m:ctrlPr>
                    <w:rPr>
                      <w:rFonts w:ascii="Cambria Math" w:hAnsi="Cambria Math"/>
                      <w:b/>
                      <w:bCs/>
                    </w:rPr>
                  </m:ctrlPr>
                </m:sSubPr>
                <m:e>
                  <m:r>
                    <m:rPr>
                      <m:sty m:val="b"/>
                    </m:rPr>
                    <w:rPr>
                      <w:rFonts w:ascii="Cambria Math" w:hAnsi="Cambria Math"/>
                    </w:rPr>
                    <m:t>Σ</m:t>
                  </m:r>
                  <m:r>
                    <m:rPr>
                      <m:sty m:val="bi"/>
                    </m:rPr>
                    <w:rPr>
                      <w:rFonts w:ascii="Cambria Math" w:hAnsi="Cambria Math"/>
                    </w:rPr>
                    <m:t>T</m:t>
                  </m:r>
                </m:e>
                <m:sub>
                  <m:r>
                    <m:rPr>
                      <m:sty m:val="bi"/>
                    </m:rPr>
                    <w:rPr>
                      <w:rFonts w:ascii="Cambria Math" w:hAnsi="Cambria Math"/>
                    </w:rPr>
                    <m:t>2021</m:t>
                  </m:r>
                </m:sub>
              </m:sSub>
            </m:oMath>
            <w:r w:rsidRPr="0054264F">
              <w:rPr>
                <w:b/>
                <w:bCs/>
              </w:rPr>
              <w:t xml:space="preserve">- </w:t>
            </w:r>
            <m:oMath>
              <m:sSub>
                <m:sSubPr>
                  <m:ctrlPr>
                    <w:rPr>
                      <w:rFonts w:ascii="Cambria Math" w:hAnsi="Cambria Math"/>
                      <w:b/>
                      <w:bCs/>
                    </w:rPr>
                  </m:ctrlPr>
                </m:sSubPr>
                <m:e>
                  <m:r>
                    <m:rPr>
                      <m:sty m:val="b"/>
                    </m:rPr>
                    <w:rPr>
                      <w:rFonts w:ascii="Cambria Math" w:hAnsi="Cambria Math"/>
                    </w:rPr>
                    <m:t>Σ</m:t>
                  </m:r>
                  <m:r>
                    <m:rPr>
                      <m:sty m:val="bi"/>
                    </m:rPr>
                    <w:rPr>
                      <w:rFonts w:ascii="Cambria Math" w:hAnsi="Cambria Math"/>
                    </w:rPr>
                    <m:t>T</m:t>
                  </m:r>
                </m:e>
                <m:sub>
                  <m:r>
                    <m:rPr>
                      <m:sty m:val="bi"/>
                    </m:rPr>
                    <w:rPr>
                      <w:rFonts w:ascii="Cambria Math" w:hAnsi="Cambria Math"/>
                    </w:rPr>
                    <m:t>max</m:t>
                  </m:r>
                </m:sub>
              </m:sSub>
            </m:oMath>
          </w:p>
        </w:tc>
        <w:tc>
          <w:tcPr>
            <w:tcW w:w="1790" w:type="dxa"/>
            <w:shd w:val="clear" w:color="auto" w:fill="A8D08D" w:themeFill="accent6" w:themeFillTint="99"/>
          </w:tcPr>
          <w:p w:rsidR="00551FC2" w:rsidRPr="0054264F" w:rsidRDefault="005804BE" w:rsidP="00582C6C">
            <w:pPr>
              <w:jc w:val="right"/>
              <w:rPr>
                <w:b/>
                <w:bCs/>
              </w:rPr>
            </w:pPr>
            <w:r>
              <w:rPr>
                <w:b/>
                <w:bCs/>
              </w:rPr>
              <w:t>0,00</w:t>
            </w:r>
          </w:p>
        </w:tc>
      </w:tr>
    </w:tbl>
    <w:p w:rsidR="00A3384B" w:rsidRPr="00634F0F" w:rsidRDefault="00A3384B" w:rsidP="00A3384B">
      <w:pPr>
        <w:pStyle w:val="Titolo3"/>
        <w:rPr>
          <w:rFonts w:cs="Times New Roman"/>
        </w:rPr>
      </w:pPr>
      <w:bookmarkStart w:id="48" w:name="_Toc54295336"/>
      <w:bookmarkStart w:id="49" w:name="_Toc54984849"/>
      <w:bookmarkStart w:id="50" w:name="_Toc75194857"/>
      <w:r w:rsidRPr="00634F0F">
        <w:rPr>
          <w:rFonts w:cs="Times New Roman"/>
        </w:rPr>
        <w:lastRenderedPageBreak/>
        <w:t>Condizione per la riclassificazione dei costi fissi e variabili</w:t>
      </w:r>
      <w:bookmarkEnd w:id="48"/>
      <w:bookmarkEnd w:id="49"/>
      <w:bookmarkEnd w:id="50"/>
    </w:p>
    <w:p w:rsidR="00554888" w:rsidRPr="00AE63BA" w:rsidRDefault="00554888" w:rsidP="00554888">
      <w:pPr>
        <w:pStyle w:val="Default"/>
        <w:jc w:val="both"/>
      </w:pPr>
      <w:r w:rsidRPr="00AE63BA">
        <w:t xml:space="preserve">Ai sensi dell’art.3 dell’allegato A alla delibera n. 443/2019 il rapporto tra il totale delle entrate tariffarie relative alle componenti di costo variabile dell’anno </w:t>
      </w:r>
      <w:r w:rsidR="000E5F1E">
        <w:t>2021</w:t>
      </w:r>
      <w:r w:rsidRPr="00AE63BA">
        <w:t xml:space="preserve"> ed il totale delle entrate tariffarie relative alle componenti di costo variabile dell’anno 20</w:t>
      </w:r>
      <w:r w:rsidR="00476678">
        <w:t>20</w:t>
      </w:r>
      <w:r w:rsidR="00C44D6C" w:rsidRPr="00AE63BA">
        <w:t>:</w:t>
      </w:r>
    </w:p>
    <w:p w:rsidR="002A6942" w:rsidRPr="00AE63BA" w:rsidRDefault="002A6942" w:rsidP="002A6942"/>
    <w:p w:rsidR="002A6942" w:rsidRPr="00AE63BA" w:rsidRDefault="002A6942" w:rsidP="002A6942">
      <m:oMathPara>
        <m:oMathParaPr>
          <m:jc m:val="center"/>
        </m:oMathParaPr>
        <m:oMath>
          <m:r>
            <w:rPr>
              <w:rFonts w:ascii="Cambria Math" w:hAnsi="Cambria Math"/>
            </w:rPr>
            <m:t>0,8≤</m:t>
          </m:r>
          <m:f>
            <m:fPr>
              <m:ctrlPr>
                <w:rPr>
                  <w:rFonts w:ascii="Cambria Math" w:hAnsi="Cambria Math"/>
                  <w:i/>
                </w:rPr>
              </m:ctrlPr>
            </m:fPr>
            <m:num>
              <m:sSub>
                <m:sSubPr>
                  <m:ctrlPr>
                    <w:rPr>
                      <w:rFonts w:ascii="Cambria Math" w:hAnsi="Cambria Math"/>
                    </w:rPr>
                  </m:ctrlPr>
                </m:sSubPr>
                <m:e>
                  <m:r>
                    <m:rPr>
                      <m:sty m:val="p"/>
                    </m:rPr>
                    <w:rPr>
                      <w:rFonts w:ascii="Cambria Math" w:hAnsi="Cambria Math"/>
                    </w:rPr>
                    <m:t>Σ</m:t>
                  </m:r>
                  <m:r>
                    <w:rPr>
                      <w:rFonts w:ascii="Cambria Math" w:hAnsi="Cambria Math"/>
                    </w:rPr>
                    <m:t>TV</m:t>
                  </m:r>
                </m:e>
                <m:sub>
                  <m:r>
                    <w:rPr>
                      <w:rFonts w:ascii="Cambria Math" w:hAnsi="Cambria Math"/>
                    </w:rPr>
                    <m:t>2021</m:t>
                  </m:r>
                </m:sub>
              </m:sSub>
            </m:num>
            <m:den>
              <m:sSub>
                <m:sSubPr>
                  <m:ctrlPr>
                    <w:rPr>
                      <w:rFonts w:ascii="Cambria Math" w:hAnsi="Cambria Math"/>
                      <w:i/>
                    </w:rPr>
                  </m:ctrlPr>
                </m:sSubPr>
                <m:e>
                  <m:r>
                    <m:rPr>
                      <m:sty m:val="p"/>
                    </m:rPr>
                    <w:rPr>
                      <w:rFonts w:ascii="Cambria Math" w:hAnsi="Cambria Math"/>
                    </w:rPr>
                    <m:t>Σ</m:t>
                  </m:r>
                  <m:r>
                    <w:rPr>
                      <w:rFonts w:ascii="Cambria Math" w:hAnsi="Cambria Math"/>
                    </w:rPr>
                    <m:t>TV</m:t>
                  </m:r>
                </m:e>
                <m:sub>
                  <m:r>
                    <w:rPr>
                      <w:rFonts w:ascii="Cambria Math" w:hAnsi="Cambria Math"/>
                    </w:rPr>
                    <m:t>2020</m:t>
                  </m:r>
                </m:sub>
              </m:sSub>
            </m:den>
          </m:f>
          <m:r>
            <w:rPr>
              <w:rFonts w:ascii="Cambria Math" w:hAnsi="Cambria Math"/>
            </w:rPr>
            <m:t>≤1,2</m:t>
          </m:r>
        </m:oMath>
      </m:oMathPara>
    </w:p>
    <w:p w:rsidR="002A6942" w:rsidRPr="00AE63BA" w:rsidRDefault="002A6942" w:rsidP="002A69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1701"/>
      </w:tblGrid>
      <w:tr w:rsidR="00CC5ADC" w:rsidRPr="00F63CAA" w:rsidTr="00CE03C7">
        <w:trPr>
          <w:trHeight w:val="479"/>
          <w:jc w:val="center"/>
        </w:trPr>
        <w:tc>
          <w:tcPr>
            <w:tcW w:w="1701" w:type="dxa"/>
            <w:shd w:val="clear" w:color="auto" w:fill="A8D08D" w:themeFill="accent6" w:themeFillTint="99"/>
            <w:noWrap/>
            <w:vAlign w:val="center"/>
            <w:hideMark/>
          </w:tcPr>
          <w:p w:rsidR="00CC5ADC" w:rsidRPr="00F63CAA" w:rsidRDefault="005E38AD" w:rsidP="00CC5ADC">
            <w:pPr>
              <w:jc w:val="right"/>
              <w:rPr>
                <w:color w:val="000000"/>
              </w:rPr>
            </w:pPr>
            <m:oMathPara>
              <m:oMath>
                <m:sSub>
                  <m:sSubPr>
                    <m:ctrlPr>
                      <w:rPr>
                        <w:rFonts w:ascii="Cambria Math" w:hAnsi="Cambria Math"/>
                      </w:rPr>
                    </m:ctrlPr>
                  </m:sSubPr>
                  <m:e>
                    <m:r>
                      <m:rPr>
                        <m:sty m:val="p"/>
                      </m:rPr>
                      <w:rPr>
                        <w:rFonts w:ascii="Cambria Math" w:hAnsi="Cambria Math"/>
                      </w:rPr>
                      <m:t>Σ</m:t>
                    </m:r>
                    <m:r>
                      <w:rPr>
                        <w:rFonts w:ascii="Cambria Math" w:hAnsi="Cambria Math"/>
                      </w:rPr>
                      <m:t>TV</m:t>
                    </m:r>
                  </m:e>
                  <m:sub>
                    <m:r>
                      <w:rPr>
                        <w:rFonts w:ascii="Cambria Math" w:hAnsi="Cambria Math"/>
                      </w:rPr>
                      <m:t>2021</m:t>
                    </m:r>
                  </m:sub>
                </m:sSub>
              </m:oMath>
            </m:oMathPara>
          </w:p>
        </w:tc>
        <w:tc>
          <w:tcPr>
            <w:tcW w:w="1701" w:type="dxa"/>
            <w:shd w:val="clear" w:color="auto" w:fill="auto"/>
            <w:noWrap/>
            <w:vAlign w:val="center"/>
          </w:tcPr>
          <w:p w:rsidR="00CC5ADC" w:rsidRPr="00F63CAA" w:rsidRDefault="000B1376" w:rsidP="001025FA">
            <w:pPr>
              <w:jc w:val="right"/>
              <w:rPr>
                <w:color w:val="000000"/>
                <w:sz w:val="22"/>
                <w:szCs w:val="22"/>
              </w:rPr>
            </w:pPr>
            <w:r>
              <w:rPr>
                <w:color w:val="000000"/>
                <w:sz w:val="22"/>
                <w:szCs w:val="22"/>
              </w:rPr>
              <w:t>305.986,07</w:t>
            </w:r>
          </w:p>
        </w:tc>
      </w:tr>
      <w:tr w:rsidR="00CC5ADC" w:rsidRPr="00F63CAA" w:rsidTr="00CE03C7">
        <w:trPr>
          <w:trHeight w:val="597"/>
          <w:jc w:val="center"/>
        </w:trPr>
        <w:tc>
          <w:tcPr>
            <w:tcW w:w="1701" w:type="dxa"/>
            <w:shd w:val="clear" w:color="auto" w:fill="A8D08D" w:themeFill="accent6" w:themeFillTint="99"/>
            <w:noWrap/>
            <w:vAlign w:val="center"/>
            <w:hideMark/>
          </w:tcPr>
          <w:p w:rsidR="00CC5ADC" w:rsidRPr="00F63CAA" w:rsidRDefault="005E38AD" w:rsidP="00CC5ADC">
            <w:pPr>
              <w:jc w:val="center"/>
              <w:rPr>
                <w:color w:val="000000"/>
              </w:rPr>
            </w:pPr>
            <m:oMathPara>
              <m:oMath>
                <m:sSub>
                  <m:sSubPr>
                    <m:ctrlPr>
                      <w:rPr>
                        <w:rFonts w:ascii="Cambria Math" w:hAnsi="Cambria Math"/>
                      </w:rPr>
                    </m:ctrlPr>
                  </m:sSubPr>
                  <m:e>
                    <m:r>
                      <m:rPr>
                        <m:sty m:val="p"/>
                      </m:rPr>
                      <w:rPr>
                        <w:rFonts w:ascii="Cambria Math" w:hAnsi="Cambria Math"/>
                      </w:rPr>
                      <m:t>Σ</m:t>
                    </m:r>
                    <m:r>
                      <w:rPr>
                        <w:rFonts w:ascii="Cambria Math" w:hAnsi="Cambria Math"/>
                      </w:rPr>
                      <m:t>TV</m:t>
                    </m:r>
                  </m:e>
                  <m:sub>
                    <m:r>
                      <w:rPr>
                        <w:rFonts w:ascii="Cambria Math" w:hAnsi="Cambria Math"/>
                      </w:rPr>
                      <m:t>2020</m:t>
                    </m:r>
                  </m:sub>
                </m:sSub>
              </m:oMath>
            </m:oMathPara>
          </w:p>
        </w:tc>
        <w:tc>
          <w:tcPr>
            <w:tcW w:w="1701" w:type="dxa"/>
            <w:shd w:val="clear" w:color="auto" w:fill="auto"/>
            <w:noWrap/>
            <w:vAlign w:val="center"/>
            <w:hideMark/>
          </w:tcPr>
          <w:p w:rsidR="00CC5ADC" w:rsidRPr="00F63CAA" w:rsidRDefault="000B1376" w:rsidP="001025FA">
            <w:pPr>
              <w:jc w:val="right"/>
              <w:rPr>
                <w:color w:val="000000"/>
                <w:sz w:val="22"/>
                <w:szCs w:val="22"/>
              </w:rPr>
            </w:pPr>
            <w:r>
              <w:rPr>
                <w:color w:val="000000"/>
                <w:sz w:val="22"/>
                <w:szCs w:val="22"/>
              </w:rPr>
              <w:t>305.986,07</w:t>
            </w:r>
          </w:p>
        </w:tc>
      </w:tr>
    </w:tbl>
    <w:p w:rsidR="002A6942" w:rsidRPr="00AE63BA" w:rsidRDefault="002A6942" w:rsidP="002A6942"/>
    <w:p w:rsidR="002A6942" w:rsidRPr="00AE63BA" w:rsidRDefault="005E38AD" w:rsidP="004E5279">
      <w:pPr>
        <w:jc w:val="center"/>
      </w:pPr>
      <m:oMath>
        <m:f>
          <m:fPr>
            <m:ctrlPr>
              <w:rPr>
                <w:rFonts w:ascii="Cambria Math" w:hAnsi="Cambria Math"/>
                <w:i/>
              </w:rPr>
            </m:ctrlPr>
          </m:fPr>
          <m:num>
            <m:sSub>
              <m:sSubPr>
                <m:ctrlPr>
                  <w:rPr>
                    <w:rFonts w:ascii="Cambria Math" w:hAnsi="Cambria Math"/>
                  </w:rPr>
                </m:ctrlPr>
              </m:sSubPr>
              <m:e>
                <m:r>
                  <m:rPr>
                    <m:sty m:val="p"/>
                  </m:rPr>
                  <w:rPr>
                    <w:rFonts w:ascii="Cambria Math" w:hAnsi="Cambria Math"/>
                  </w:rPr>
                  <m:t>Σ</m:t>
                </m:r>
                <m:r>
                  <w:rPr>
                    <w:rFonts w:ascii="Cambria Math" w:hAnsi="Cambria Math"/>
                  </w:rPr>
                  <m:t>TV</m:t>
                </m:r>
              </m:e>
              <m:sub>
                <m:r>
                  <w:rPr>
                    <w:rFonts w:ascii="Cambria Math" w:hAnsi="Cambria Math"/>
                  </w:rPr>
                  <m:t>2021</m:t>
                </m:r>
              </m:sub>
            </m:sSub>
          </m:num>
          <m:den>
            <m:sSub>
              <m:sSubPr>
                <m:ctrlPr>
                  <w:rPr>
                    <w:rFonts w:ascii="Cambria Math" w:hAnsi="Cambria Math"/>
                    <w:i/>
                  </w:rPr>
                </m:ctrlPr>
              </m:sSubPr>
              <m:e>
                <m:r>
                  <m:rPr>
                    <m:sty m:val="p"/>
                  </m:rPr>
                  <w:rPr>
                    <w:rFonts w:ascii="Cambria Math" w:hAnsi="Cambria Math"/>
                  </w:rPr>
                  <m:t>Σ</m:t>
                </m:r>
                <m:r>
                  <w:rPr>
                    <w:rFonts w:ascii="Cambria Math" w:hAnsi="Cambria Math"/>
                  </w:rPr>
                  <m:t>TV</m:t>
                </m:r>
              </m:e>
              <m:sub>
                <m:r>
                  <w:rPr>
                    <w:rFonts w:ascii="Cambria Math" w:hAnsi="Cambria Math"/>
                  </w:rPr>
                  <m:t>2020</m:t>
                </m:r>
              </m:sub>
            </m:sSub>
          </m:den>
        </m:f>
        <m:r>
          <w:rPr>
            <w:rFonts w:ascii="Cambria Math" w:hAnsi="Cambria Math"/>
          </w:rPr>
          <m:t>=</m:t>
        </m:r>
      </m:oMath>
      <w:r w:rsidR="00074CF8">
        <w:t>1,00</w:t>
      </w:r>
    </w:p>
    <w:p w:rsidR="002A6942" w:rsidRPr="00AE63BA" w:rsidRDefault="002A6942" w:rsidP="00570C4F">
      <w:pPr>
        <w:pStyle w:val="Default"/>
        <w:jc w:val="both"/>
      </w:pPr>
    </w:p>
    <w:p w:rsidR="00CB224F" w:rsidRDefault="006A4608" w:rsidP="00C81D85">
      <w:r w:rsidRPr="00AE63BA">
        <w:t xml:space="preserve">per il comune di </w:t>
      </w:r>
      <w:r w:rsidR="00E8757D">
        <w:t>SAN PIETRO IN GUARANO</w:t>
      </w:r>
      <w:r w:rsidRPr="00AE63BA">
        <w:t xml:space="preserve"> è pari a </w:t>
      </w:r>
      <w:r w:rsidR="00074CF8">
        <w:t>1,00</w:t>
      </w:r>
      <w:r w:rsidR="0025342B" w:rsidRPr="00F45BA8">
        <w:rPr>
          <w:b/>
          <w:bCs/>
        </w:rPr>
        <w:t>non</w:t>
      </w:r>
      <w:r w:rsidR="00C81D85" w:rsidRPr="00F45BA8">
        <w:rPr>
          <w:b/>
        </w:rPr>
        <w:t>è</w:t>
      </w:r>
      <w:r w:rsidR="00C81D85" w:rsidRPr="00AE63BA">
        <w:t xml:space="preserve"> pertanto necessario procedere alla riclassificazione dei costi fissi e variabili</w:t>
      </w:r>
      <w:r w:rsidR="009B7A30">
        <w:t>.</w:t>
      </w:r>
    </w:p>
    <w:p w:rsidR="0009510F" w:rsidRPr="00F92BA9" w:rsidRDefault="00D053AC" w:rsidP="006A0B48">
      <w:pPr>
        <w:pStyle w:val="Titolo2"/>
        <w:rPr>
          <w:rFonts w:cs="Times New Roman"/>
        </w:rPr>
      </w:pPr>
      <w:bookmarkStart w:id="51" w:name="_Toc75194858"/>
      <w:r>
        <w:rPr>
          <w:rFonts w:cs="Times New Roman"/>
        </w:rPr>
        <w:t>C</w:t>
      </w:r>
      <w:r w:rsidR="0009510F" w:rsidRPr="00F92BA9">
        <w:rPr>
          <w:rFonts w:cs="Times New Roman"/>
        </w:rPr>
        <w:t>osti operativi incentivanti</w:t>
      </w:r>
      <w:bookmarkEnd w:id="51"/>
    </w:p>
    <w:p w:rsidR="0009510F" w:rsidRDefault="0009510F" w:rsidP="0009510F">
      <w:pPr>
        <w:autoSpaceDE w:val="0"/>
        <w:autoSpaceDN w:val="0"/>
        <w:adjustRightInd w:val="0"/>
      </w:pPr>
      <w:r w:rsidRPr="00F92BA9">
        <w:t>Non sono stati valorizzati i costi previsionali incentivanti né per la parte fissa né per la parte variabile.</w:t>
      </w:r>
    </w:p>
    <w:p w:rsidR="0009510F" w:rsidRPr="00F92BA9" w:rsidRDefault="0009510F" w:rsidP="0009510F">
      <w:pPr>
        <w:pStyle w:val="Titolo2"/>
        <w:rPr>
          <w:rFonts w:cs="Times New Roman"/>
        </w:rPr>
      </w:pPr>
      <w:bookmarkStart w:id="52" w:name="_Toc75194859"/>
      <w:r w:rsidRPr="00F92BA9">
        <w:rPr>
          <w:rFonts w:cs="Times New Roman"/>
        </w:rPr>
        <w:t>Eventuale superamento del limite alla crescita annuale delle entrate tariffarie</w:t>
      </w:r>
      <w:bookmarkEnd w:id="52"/>
    </w:p>
    <w:p w:rsidR="00974453" w:rsidRDefault="00974453" w:rsidP="00974453">
      <w:r w:rsidRPr="00F92BA9">
        <w:t xml:space="preserve">Il Comune di </w:t>
      </w:r>
      <w:r w:rsidR="00E8757D">
        <w:t>SAN PIETRO IN GUARANO</w:t>
      </w:r>
      <w:r w:rsidRPr="00F92BA9">
        <w:t xml:space="preserve">, per assicurare il raggiungimento dei previsti miglioramenti di qualità ovvero per sostenere il processo di integrazione delle attività gestite, non ha superato il limite di crescita annuale delle entrate tariffarie. </w:t>
      </w:r>
    </w:p>
    <w:p w:rsidR="00435508" w:rsidRPr="007B7FE7" w:rsidRDefault="00435508" w:rsidP="007B7FE7">
      <w:pPr>
        <w:pStyle w:val="Titolo2"/>
        <w:rPr>
          <w:rFonts w:cs="Times New Roman"/>
        </w:rPr>
      </w:pPr>
      <w:bookmarkStart w:id="53" w:name="_Toc62733598"/>
      <w:bookmarkStart w:id="54" w:name="_Toc75194860"/>
      <w:r w:rsidRPr="00F92BA9">
        <w:rPr>
          <w:rFonts w:cs="Times New Roman"/>
        </w:rPr>
        <w:t>Focus sulla gradualità per le annualità 201</w:t>
      </w:r>
      <w:r>
        <w:rPr>
          <w:rFonts w:cs="Times New Roman"/>
        </w:rPr>
        <w:t>8</w:t>
      </w:r>
      <w:r w:rsidRPr="00F92BA9">
        <w:rPr>
          <w:rFonts w:cs="Times New Roman"/>
        </w:rPr>
        <w:t xml:space="preserve"> e 20</w:t>
      </w:r>
      <w:bookmarkEnd w:id="53"/>
      <w:r>
        <w:rPr>
          <w:rFonts w:cs="Times New Roman"/>
        </w:rPr>
        <w:t>19</w:t>
      </w:r>
      <w:bookmarkEnd w:id="54"/>
    </w:p>
    <w:p w:rsidR="00435508" w:rsidRPr="00274C53" w:rsidRDefault="00435508" w:rsidP="00435508">
      <w:pPr>
        <w:jc w:val="left"/>
        <w:rPr>
          <w:color w:val="000000"/>
          <w:sz w:val="10"/>
          <w:szCs w:val="10"/>
        </w:rPr>
      </w:pPr>
    </w:p>
    <w:p w:rsidR="00F275B2" w:rsidRPr="0089779B" w:rsidRDefault="0089779B" w:rsidP="0089779B">
      <w:pPr>
        <w:pStyle w:val="Default"/>
        <w:jc w:val="both"/>
      </w:pPr>
      <w:r w:rsidRPr="00F92BA9">
        <w:t>Sulla base d</w:t>
      </w:r>
      <w:r>
        <w:t>i quanto indicato ai precedenti punti l</w:t>
      </w:r>
      <w:r w:rsidRPr="00F92BA9">
        <w:t xml:space="preserve">a componente a conguaglio relativa ai costi variabili </w:t>
      </w:r>
      <m:oMath>
        <m:sSub>
          <m:sSubPr>
            <m:ctrlPr>
              <w:rPr>
                <w:rFonts w:ascii="Cambria Math" w:hAnsi="Cambria Math"/>
                <w:i/>
              </w:rPr>
            </m:ctrlPr>
          </m:sSubPr>
          <m:e>
            <m:r>
              <w:rPr>
                <w:rFonts w:ascii="Cambria Math" w:hAnsi="Cambria Math"/>
              </w:rPr>
              <m:t>RC</m:t>
            </m:r>
          </m:e>
          <m:sub>
            <m:r>
              <w:rPr>
                <w:rFonts w:ascii="Cambria Math" w:hAnsi="Cambria Math"/>
              </w:rPr>
              <m:t>TV,a</m:t>
            </m:r>
          </m:sub>
        </m:sSub>
      </m:oMath>
      <w:r w:rsidRPr="00F92BA9">
        <w:t xml:space="preserve">e la componente a conguaglio relativa ai costi fissi </w:t>
      </w:r>
      <m:oMath>
        <m:sSub>
          <m:sSubPr>
            <m:ctrlPr>
              <w:rPr>
                <w:rFonts w:ascii="Cambria Math" w:hAnsi="Cambria Math"/>
                <w:i/>
              </w:rPr>
            </m:ctrlPr>
          </m:sSubPr>
          <m:e>
            <m:r>
              <w:rPr>
                <w:rFonts w:ascii="Cambria Math" w:hAnsi="Cambria Math"/>
              </w:rPr>
              <m:t>RC</m:t>
            </m:r>
          </m:e>
          <m:sub>
            <m:r>
              <w:rPr>
                <w:rFonts w:ascii="Cambria Math" w:hAnsi="Cambria Math"/>
              </w:rPr>
              <m:t>TF,a</m:t>
            </m:r>
          </m:sub>
        </m:sSub>
      </m:oMath>
      <w:r w:rsidRPr="00F92BA9">
        <w:t>,</w:t>
      </w:r>
      <w:r>
        <w:t xml:space="preserve"> sono state poste pari a zero. </w:t>
      </w:r>
    </w:p>
    <w:p w:rsidR="00203904" w:rsidRDefault="00203904" w:rsidP="00203904">
      <w:pPr>
        <w:pStyle w:val="Titolo2"/>
        <w:rPr>
          <w:rFonts w:cs="Times New Roman"/>
          <w:i/>
        </w:rPr>
      </w:pPr>
      <w:bookmarkStart w:id="55" w:name="_Toc75194861"/>
      <w:r w:rsidRPr="00F92BA9">
        <w:rPr>
          <w:rFonts w:cs="Times New Roman"/>
        </w:rPr>
        <w:t xml:space="preserve">Focus sulla valorizzazione dei fattori di </w:t>
      </w:r>
      <w:r w:rsidR="00F7616C">
        <w:rPr>
          <w:rFonts w:cs="Times New Roman"/>
          <w:i/>
        </w:rPr>
        <w:t>s</w:t>
      </w:r>
      <w:r w:rsidR="0089779B">
        <w:rPr>
          <w:rFonts w:cs="Times New Roman"/>
          <w:i/>
        </w:rPr>
        <w:t>h</w:t>
      </w:r>
      <w:r w:rsidR="00F7616C">
        <w:rPr>
          <w:rFonts w:cs="Times New Roman"/>
          <w:i/>
        </w:rPr>
        <w:t>arin</w:t>
      </w:r>
      <w:r w:rsidR="0089779B">
        <w:rPr>
          <w:rFonts w:cs="Times New Roman"/>
          <w:i/>
        </w:rPr>
        <w:t>g</w:t>
      </w:r>
      <w:bookmarkEnd w:id="55"/>
    </w:p>
    <w:p w:rsidR="00D24DCB" w:rsidRDefault="00D24DCB" w:rsidP="00D24DCB">
      <w:pPr>
        <w:pStyle w:val="commi"/>
        <w:numPr>
          <w:ilvl w:val="0"/>
          <w:numId w:val="0"/>
        </w:numPr>
        <w:spacing w:before="0" w:after="0"/>
      </w:pPr>
      <w:r>
        <w:t>Le voci AR e ARCONAI non sono state valorizzate.</w:t>
      </w:r>
    </w:p>
    <w:p w:rsidR="005E15E2" w:rsidRPr="006327DB" w:rsidRDefault="00C87E4E" w:rsidP="006327DB">
      <w:pPr>
        <w:pStyle w:val="Titolo2"/>
        <w:rPr>
          <w:rFonts w:cs="Times New Roman"/>
        </w:rPr>
      </w:pPr>
      <w:bookmarkStart w:id="56" w:name="_Toc75194862"/>
      <w:r w:rsidRPr="00F92BA9">
        <w:rPr>
          <w:rFonts w:cs="Times New Roman"/>
        </w:rPr>
        <w:t>Scelt</w:t>
      </w:r>
      <w:r w:rsidR="00090F95" w:rsidRPr="00F92BA9">
        <w:rPr>
          <w:rFonts w:cs="Times New Roman"/>
        </w:rPr>
        <w:t>a</w:t>
      </w:r>
      <w:r w:rsidRPr="00F92BA9">
        <w:rPr>
          <w:rFonts w:cs="Times New Roman"/>
        </w:rPr>
        <w:t xml:space="preserve"> de</w:t>
      </w:r>
      <w:r w:rsidR="00E72501" w:rsidRPr="00F92BA9">
        <w:rPr>
          <w:rFonts w:cs="Times New Roman"/>
        </w:rPr>
        <w:t>gl</w:t>
      </w:r>
      <w:r w:rsidRPr="00F92BA9">
        <w:rPr>
          <w:rFonts w:cs="Times New Roman"/>
        </w:rPr>
        <w:t xml:space="preserve">i </w:t>
      </w:r>
      <w:r w:rsidR="00E72501" w:rsidRPr="00F92BA9">
        <w:rPr>
          <w:rFonts w:cs="Times New Roman"/>
        </w:rPr>
        <w:t xml:space="preserve">ulteriori </w:t>
      </w:r>
      <w:r w:rsidRPr="00F92BA9">
        <w:rPr>
          <w:rFonts w:cs="Times New Roman"/>
        </w:rPr>
        <w:t>parametri</w:t>
      </w:r>
      <w:bookmarkStart w:id="57" w:name="_Toc56183637"/>
      <w:bookmarkEnd w:id="56"/>
    </w:p>
    <w:p w:rsidR="00563175" w:rsidRPr="00F15ACC" w:rsidRDefault="00563175" w:rsidP="00563175">
      <w:pPr>
        <w:pStyle w:val="Titolo3"/>
      </w:pPr>
      <w:bookmarkStart w:id="58" w:name="_Toc75194863"/>
      <w:r w:rsidRPr="00F15ACC">
        <w:t>Detrazioni di cui al comma 1.4 della Determina n. 2/DRIF/</w:t>
      </w:r>
      <w:r w:rsidR="000E5F1E">
        <w:t>2021</w:t>
      </w:r>
      <w:bookmarkEnd w:id="57"/>
      <w:bookmarkEnd w:id="58"/>
    </w:p>
    <w:p w:rsidR="00DE6E4D" w:rsidRPr="00F92BA9" w:rsidRDefault="00DE6E4D" w:rsidP="00DE6E4D">
      <w:pPr>
        <w:autoSpaceDE w:val="0"/>
        <w:autoSpaceDN w:val="0"/>
        <w:adjustRightInd w:val="0"/>
      </w:pPr>
      <w:r w:rsidRPr="00F92BA9">
        <w:t xml:space="preserve">Ai sensi dell’articolo 1.4 della Determina n. 2/DRIF/2020 dal totale dei costi del PEF sono sottratte le seguenti entrate: </w:t>
      </w:r>
    </w:p>
    <w:p w:rsidR="00DE6E4D" w:rsidRPr="00F92BA9" w:rsidRDefault="00E00629" w:rsidP="00DE6E4D">
      <w:pPr>
        <w:pStyle w:val="Default"/>
        <w:numPr>
          <w:ilvl w:val="0"/>
          <w:numId w:val="4"/>
        </w:numPr>
      </w:pPr>
      <w:r w:rsidRPr="00F92BA9">
        <w:t xml:space="preserve">il contributo del MIUR per le istituzioni scolastiche statali ai sensi dell’articolo 33 bis del </w:t>
      </w:r>
      <w:r w:rsidR="00DE6E4D" w:rsidRPr="00F92BA9">
        <w:t xml:space="preserve">decreto-legge 248/07; </w:t>
      </w:r>
    </w:p>
    <w:p w:rsidR="00DE6E4D" w:rsidRPr="00F92BA9" w:rsidRDefault="00DE6E4D" w:rsidP="00DE6E4D">
      <w:pPr>
        <w:pStyle w:val="Default"/>
        <w:numPr>
          <w:ilvl w:val="0"/>
          <w:numId w:val="4"/>
        </w:numPr>
      </w:pPr>
      <w:r w:rsidRPr="00F92BA9">
        <w:t xml:space="preserve">le entrate effettivamente conseguite a seguito dell’attività di recupero dell’evasione; </w:t>
      </w:r>
    </w:p>
    <w:p w:rsidR="00DE6E4D" w:rsidRPr="00F92BA9" w:rsidRDefault="00DE6E4D" w:rsidP="00DE6E4D">
      <w:pPr>
        <w:pStyle w:val="Default"/>
        <w:numPr>
          <w:ilvl w:val="0"/>
          <w:numId w:val="4"/>
        </w:numPr>
      </w:pPr>
      <w:r w:rsidRPr="00F92BA9">
        <w:t xml:space="preserve">le entrate derivanti da procedure sanzionatorie; </w:t>
      </w:r>
    </w:p>
    <w:p w:rsidR="00DE6E4D" w:rsidRPr="00F92BA9" w:rsidRDefault="00DE6E4D" w:rsidP="00DE6E4D">
      <w:pPr>
        <w:pStyle w:val="Default"/>
        <w:numPr>
          <w:ilvl w:val="0"/>
          <w:numId w:val="4"/>
        </w:numPr>
      </w:pPr>
      <w:r w:rsidRPr="00F92BA9">
        <w:t>le ulteriori partite approvate dall’Ente territorialmente competente.</w:t>
      </w:r>
    </w:p>
    <w:p w:rsidR="00DE6E4D" w:rsidRPr="0099361E" w:rsidRDefault="00DE6E4D" w:rsidP="00DE6E4D">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24"/>
        <w:gridCol w:w="1754"/>
      </w:tblGrid>
      <w:tr w:rsidR="00DE6E4D" w:rsidRPr="00160B6B" w:rsidTr="00421EF3">
        <w:trPr>
          <w:trHeight w:val="300"/>
        </w:trPr>
        <w:tc>
          <w:tcPr>
            <w:tcW w:w="4103" w:type="pct"/>
            <w:shd w:val="clear" w:color="auto" w:fill="A8D08D" w:themeFill="accent6" w:themeFillTint="99"/>
            <w:noWrap/>
            <w:vAlign w:val="bottom"/>
          </w:tcPr>
          <w:p w:rsidR="00DE6E4D" w:rsidRPr="00160B6B" w:rsidRDefault="00DE6E4D" w:rsidP="00582C6C">
            <w:pPr>
              <w:rPr>
                <w:b/>
                <w:bCs/>
                <w:color w:val="000000"/>
              </w:rPr>
            </w:pPr>
            <w:r w:rsidRPr="00160B6B">
              <w:rPr>
                <w:b/>
                <w:bCs/>
                <w:color w:val="000000"/>
              </w:rPr>
              <w:t>Detrazioni di cui al comma 1.4 della Determina n. 2/DRIF/2020</w:t>
            </w:r>
          </w:p>
        </w:tc>
        <w:tc>
          <w:tcPr>
            <w:tcW w:w="897" w:type="pct"/>
            <w:shd w:val="clear" w:color="auto" w:fill="A8D08D" w:themeFill="accent6" w:themeFillTint="99"/>
            <w:noWrap/>
            <w:vAlign w:val="bottom"/>
          </w:tcPr>
          <w:p w:rsidR="00DE6E4D" w:rsidRPr="00160B6B" w:rsidRDefault="00DE6E4D" w:rsidP="00582C6C">
            <w:pPr>
              <w:jc w:val="center"/>
              <w:rPr>
                <w:b/>
                <w:bCs/>
                <w:color w:val="000000"/>
              </w:rPr>
            </w:pPr>
            <w:r w:rsidRPr="00160B6B">
              <w:rPr>
                <w:b/>
                <w:bCs/>
                <w:color w:val="000000"/>
              </w:rPr>
              <w:t>Importo</w:t>
            </w:r>
          </w:p>
        </w:tc>
      </w:tr>
      <w:tr w:rsidR="00DE6E4D" w:rsidRPr="00160B6B" w:rsidTr="00421EF3">
        <w:trPr>
          <w:trHeight w:val="300"/>
        </w:trPr>
        <w:tc>
          <w:tcPr>
            <w:tcW w:w="4103" w:type="pct"/>
            <w:shd w:val="clear" w:color="auto" w:fill="auto"/>
            <w:noWrap/>
            <w:vAlign w:val="bottom"/>
            <w:hideMark/>
          </w:tcPr>
          <w:p w:rsidR="00DE6E4D" w:rsidRPr="00160B6B" w:rsidRDefault="00DE6E4D" w:rsidP="00582C6C">
            <w:pPr>
              <w:rPr>
                <w:color w:val="000000"/>
              </w:rPr>
            </w:pPr>
            <w:r w:rsidRPr="00160B6B">
              <w:rPr>
                <w:color w:val="000000"/>
              </w:rPr>
              <w:t xml:space="preserve">Contributo MIUR 2020 – Componente Fissa </w:t>
            </w:r>
          </w:p>
        </w:tc>
        <w:tc>
          <w:tcPr>
            <w:tcW w:w="897" w:type="pct"/>
            <w:shd w:val="clear" w:color="auto" w:fill="auto"/>
            <w:noWrap/>
            <w:vAlign w:val="bottom"/>
            <w:hideMark/>
          </w:tcPr>
          <w:p w:rsidR="00DE6E4D" w:rsidRPr="00160B6B" w:rsidRDefault="00421EF3" w:rsidP="00582C6C">
            <w:pPr>
              <w:jc w:val="right"/>
              <w:rPr>
                <w:color w:val="000000"/>
              </w:rPr>
            </w:pPr>
            <w:r>
              <w:rPr>
                <w:color w:val="000000"/>
              </w:rPr>
              <w:t>1.319,80</w:t>
            </w:r>
          </w:p>
        </w:tc>
      </w:tr>
      <w:tr w:rsidR="00DE6E4D" w:rsidRPr="00493DCF" w:rsidTr="00421EF3">
        <w:trPr>
          <w:trHeight w:val="230"/>
        </w:trPr>
        <w:tc>
          <w:tcPr>
            <w:tcW w:w="4103" w:type="pct"/>
            <w:shd w:val="clear" w:color="auto" w:fill="auto"/>
            <w:noWrap/>
            <w:vAlign w:val="bottom"/>
          </w:tcPr>
          <w:p w:rsidR="00DE6E4D" w:rsidRPr="00160B6B" w:rsidRDefault="00DE6E4D" w:rsidP="00582C6C">
            <w:pPr>
              <w:rPr>
                <w:b/>
                <w:bCs/>
                <w:color w:val="000000"/>
              </w:rPr>
            </w:pPr>
            <w:r w:rsidRPr="00160B6B">
              <w:rPr>
                <w:b/>
                <w:bCs/>
                <w:color w:val="000000"/>
              </w:rPr>
              <w:t>Totale Entrate 202</w:t>
            </w:r>
            <w:r w:rsidR="00160B6B" w:rsidRPr="00160B6B">
              <w:rPr>
                <w:b/>
                <w:bCs/>
                <w:color w:val="000000"/>
              </w:rPr>
              <w:t>1</w:t>
            </w:r>
          </w:p>
        </w:tc>
        <w:tc>
          <w:tcPr>
            <w:tcW w:w="897" w:type="pct"/>
            <w:shd w:val="clear" w:color="auto" w:fill="auto"/>
            <w:noWrap/>
            <w:vAlign w:val="bottom"/>
          </w:tcPr>
          <w:p w:rsidR="00DE6E4D" w:rsidRPr="00493DCF" w:rsidRDefault="00421EF3" w:rsidP="00582C6C">
            <w:pPr>
              <w:jc w:val="right"/>
              <w:rPr>
                <w:b/>
                <w:bCs/>
                <w:color w:val="000000"/>
              </w:rPr>
            </w:pPr>
            <w:r>
              <w:rPr>
                <w:b/>
                <w:bCs/>
                <w:color w:val="000000"/>
              </w:rPr>
              <w:t>1.319,80</w:t>
            </w:r>
          </w:p>
        </w:tc>
      </w:tr>
    </w:tbl>
    <w:p w:rsidR="001B6DC1" w:rsidRDefault="001B6DC1" w:rsidP="00421EF3">
      <w:pPr>
        <w:rPr>
          <w:b/>
          <w:bCs/>
          <w:i/>
        </w:rPr>
      </w:pPr>
    </w:p>
    <w:p w:rsidR="00421EF3" w:rsidRDefault="00421EF3" w:rsidP="00421EF3">
      <w:pPr>
        <w:rPr>
          <w:b/>
          <w:bCs/>
          <w:i/>
        </w:rPr>
      </w:pPr>
    </w:p>
    <w:p w:rsidR="00421EF3" w:rsidRDefault="00421EF3" w:rsidP="00421EF3">
      <w:pPr>
        <w:rPr>
          <w:b/>
          <w:bCs/>
          <w:i/>
        </w:rPr>
      </w:pPr>
    </w:p>
    <w:p w:rsidR="001B6DC1" w:rsidRDefault="001B6DC1" w:rsidP="001B6DC1">
      <w:pPr>
        <w:pStyle w:val="Titolo3"/>
      </w:pPr>
      <w:bookmarkStart w:id="59" w:name="_Toc69723500"/>
      <w:bookmarkStart w:id="60" w:name="_Toc69805959"/>
      <w:bookmarkStart w:id="61" w:name="_Toc71619008"/>
      <w:bookmarkStart w:id="62" w:name="_Toc75194864"/>
      <w:r w:rsidRPr="00491098">
        <w:lastRenderedPageBreak/>
        <w:t>Scomposizione TARIFFA TARI 2021</w:t>
      </w:r>
      <w:bookmarkEnd w:id="59"/>
      <w:bookmarkEnd w:id="60"/>
      <w:bookmarkEnd w:id="61"/>
      <w:bookmarkEnd w:id="62"/>
    </w:p>
    <w:p w:rsidR="001B6DC1" w:rsidRPr="00491098" w:rsidRDefault="001B6DC1" w:rsidP="001B6DC1">
      <w:r w:rsidRPr="00491098">
        <w:t xml:space="preserve">Per l’anno 2021 l’importo articolato agli utenti è pari ad euro </w:t>
      </w:r>
      <w:r w:rsidR="00421EF3">
        <w:rPr>
          <w:b/>
        </w:rPr>
        <w:t>481.299,02</w:t>
      </w:r>
      <w:r w:rsidRPr="00491098">
        <w:t>al netto delle detrazioni di cui al comma 1.4 della Determinazione n. 02/2020-DRIF indicate nella precedente tabella.</w:t>
      </w:r>
    </w:p>
    <w:p w:rsidR="001B6DC1" w:rsidRPr="00491098" w:rsidRDefault="001B6DC1" w:rsidP="001B6DC1">
      <w:pPr>
        <w:rPr>
          <w:lang w:eastAsia="en-GB"/>
        </w:rPr>
      </w:pPr>
    </w:p>
    <w:p w:rsidR="001B6DC1" w:rsidRPr="00491098" w:rsidRDefault="001B6DC1" w:rsidP="001B6DC1">
      <w:pPr>
        <w:rPr>
          <w:lang w:eastAsia="en-GB"/>
        </w:rPr>
      </w:pPr>
      <w:r w:rsidRPr="00491098">
        <w:rPr>
          <w:lang w:eastAsia="en-GB"/>
        </w:rPr>
        <w:t>La scomposizione del totale delle entrate tariffarie da articolare agli utenti è la seguente:</w:t>
      </w:r>
    </w:p>
    <w:tbl>
      <w:tblPr>
        <w:tblW w:w="5000" w:type="pct"/>
        <w:tblLayout w:type="fixed"/>
        <w:tblCellMar>
          <w:left w:w="70" w:type="dxa"/>
          <w:right w:w="70" w:type="dxa"/>
        </w:tblCellMar>
        <w:tblLook w:val="04A0"/>
      </w:tblPr>
      <w:tblGrid>
        <w:gridCol w:w="5516"/>
        <w:gridCol w:w="1420"/>
        <w:gridCol w:w="1420"/>
        <w:gridCol w:w="1422"/>
      </w:tblGrid>
      <w:tr w:rsidR="001B6DC1" w:rsidRPr="00491098" w:rsidTr="00D22882">
        <w:trPr>
          <w:trHeight w:val="375"/>
        </w:trPr>
        <w:tc>
          <w:tcPr>
            <w:tcW w:w="2821" w:type="pct"/>
            <w:tcBorders>
              <w:top w:val="single" w:sz="4" w:space="0" w:color="auto"/>
              <w:left w:val="single" w:sz="4" w:space="0" w:color="auto"/>
              <w:bottom w:val="single" w:sz="4" w:space="0" w:color="auto"/>
              <w:right w:val="nil"/>
            </w:tcBorders>
            <w:shd w:val="clear" w:color="auto" w:fill="A8D08D" w:themeFill="accent6" w:themeFillTint="99"/>
            <w:noWrap/>
            <w:vAlign w:val="center"/>
            <w:hideMark/>
          </w:tcPr>
          <w:p w:rsidR="001B6DC1" w:rsidRPr="00491098" w:rsidRDefault="001B6DC1" w:rsidP="00D22882">
            <w:pPr>
              <w:jc w:val="left"/>
              <w:rPr>
                <w:b/>
                <w:bCs/>
                <w:color w:val="000000"/>
                <w:sz w:val="18"/>
                <w:szCs w:val="18"/>
              </w:rPr>
            </w:pPr>
            <w:r w:rsidRPr="00491098">
              <w:rPr>
                <w:b/>
                <w:bCs/>
                <w:color w:val="000000"/>
                <w:sz w:val="18"/>
                <w:szCs w:val="18"/>
              </w:rPr>
              <w:t>Tariffa Finale Scomposta per elaborazione TARIFFE TARI</w:t>
            </w:r>
          </w:p>
        </w:tc>
        <w:tc>
          <w:tcPr>
            <w:tcW w:w="726" w:type="pct"/>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1B6DC1" w:rsidRPr="00491098" w:rsidRDefault="001B6DC1" w:rsidP="00D22882">
            <w:pPr>
              <w:jc w:val="center"/>
              <w:rPr>
                <w:b/>
                <w:bCs/>
                <w:color w:val="000000"/>
                <w:sz w:val="18"/>
                <w:szCs w:val="18"/>
              </w:rPr>
            </w:pPr>
            <w:r w:rsidRPr="00491098">
              <w:rPr>
                <w:b/>
                <w:bCs/>
                <w:color w:val="000000"/>
                <w:sz w:val="18"/>
                <w:szCs w:val="18"/>
              </w:rPr>
              <w:t>Tariffa variabile</w:t>
            </w:r>
          </w:p>
        </w:tc>
        <w:tc>
          <w:tcPr>
            <w:tcW w:w="726" w:type="pct"/>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1B6DC1" w:rsidRPr="00491098" w:rsidRDefault="001B6DC1" w:rsidP="00D22882">
            <w:pPr>
              <w:jc w:val="center"/>
              <w:rPr>
                <w:b/>
                <w:bCs/>
                <w:color w:val="000000"/>
                <w:sz w:val="18"/>
                <w:szCs w:val="18"/>
              </w:rPr>
            </w:pPr>
            <w:r w:rsidRPr="00491098">
              <w:rPr>
                <w:b/>
                <w:bCs/>
                <w:color w:val="000000"/>
                <w:sz w:val="18"/>
                <w:szCs w:val="18"/>
              </w:rPr>
              <w:t>Tariffa fissa</w:t>
            </w:r>
          </w:p>
        </w:tc>
        <w:tc>
          <w:tcPr>
            <w:tcW w:w="727" w:type="pct"/>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1B6DC1" w:rsidRPr="00491098" w:rsidRDefault="001B6DC1" w:rsidP="00D22882">
            <w:pPr>
              <w:jc w:val="center"/>
              <w:rPr>
                <w:b/>
                <w:bCs/>
                <w:color w:val="000000"/>
                <w:sz w:val="18"/>
                <w:szCs w:val="18"/>
              </w:rPr>
            </w:pPr>
            <w:r w:rsidRPr="00491098">
              <w:rPr>
                <w:b/>
                <w:bCs/>
                <w:color w:val="000000"/>
                <w:sz w:val="18"/>
                <w:szCs w:val="18"/>
              </w:rPr>
              <w:t>Tariffa Complessiva</w:t>
            </w:r>
          </w:p>
        </w:tc>
      </w:tr>
      <w:tr w:rsidR="001B6DC1" w:rsidRPr="00491098" w:rsidTr="00D22882">
        <w:trPr>
          <w:trHeight w:val="315"/>
        </w:trPr>
        <w:tc>
          <w:tcPr>
            <w:tcW w:w="2821" w:type="pct"/>
            <w:tcBorders>
              <w:top w:val="nil"/>
              <w:left w:val="single" w:sz="4" w:space="0" w:color="auto"/>
              <w:bottom w:val="single" w:sz="4" w:space="0" w:color="auto"/>
              <w:right w:val="single" w:sz="4" w:space="0" w:color="auto"/>
            </w:tcBorders>
            <w:shd w:val="clear" w:color="auto" w:fill="auto"/>
            <w:noWrap/>
            <w:vAlign w:val="center"/>
            <w:hideMark/>
          </w:tcPr>
          <w:p w:rsidR="001B6DC1" w:rsidRPr="00491098" w:rsidRDefault="001B6DC1" w:rsidP="00D22882">
            <w:pPr>
              <w:jc w:val="left"/>
              <w:rPr>
                <w:color w:val="000000"/>
                <w:sz w:val="18"/>
                <w:szCs w:val="18"/>
              </w:rPr>
            </w:pPr>
            <w:r w:rsidRPr="00491098">
              <w:rPr>
                <w:color w:val="000000"/>
                <w:sz w:val="18"/>
                <w:szCs w:val="18"/>
              </w:rPr>
              <w:t>Tariffa finale PEF MTR 2021</w:t>
            </w:r>
          </w:p>
        </w:tc>
        <w:tc>
          <w:tcPr>
            <w:tcW w:w="726" w:type="pct"/>
            <w:tcBorders>
              <w:top w:val="nil"/>
              <w:left w:val="nil"/>
              <w:bottom w:val="single" w:sz="4" w:space="0" w:color="auto"/>
              <w:right w:val="single" w:sz="4" w:space="0" w:color="auto"/>
            </w:tcBorders>
            <w:shd w:val="clear" w:color="auto" w:fill="auto"/>
            <w:noWrap/>
            <w:vAlign w:val="center"/>
            <w:hideMark/>
          </w:tcPr>
          <w:p w:rsidR="001B6DC1" w:rsidRPr="00491098" w:rsidRDefault="003F5CE7" w:rsidP="00D22882">
            <w:pPr>
              <w:jc w:val="right"/>
              <w:rPr>
                <w:color w:val="000000"/>
                <w:sz w:val="18"/>
                <w:szCs w:val="18"/>
              </w:rPr>
            </w:pPr>
            <w:r>
              <w:rPr>
                <w:color w:val="000000"/>
                <w:sz w:val="18"/>
                <w:szCs w:val="18"/>
              </w:rPr>
              <w:t>305.986,07</w:t>
            </w:r>
          </w:p>
        </w:tc>
        <w:tc>
          <w:tcPr>
            <w:tcW w:w="726" w:type="pct"/>
            <w:tcBorders>
              <w:top w:val="nil"/>
              <w:left w:val="nil"/>
              <w:bottom w:val="single" w:sz="4" w:space="0" w:color="auto"/>
              <w:right w:val="single" w:sz="4" w:space="0" w:color="auto"/>
            </w:tcBorders>
            <w:shd w:val="clear" w:color="auto" w:fill="auto"/>
            <w:noWrap/>
            <w:vAlign w:val="center"/>
            <w:hideMark/>
          </w:tcPr>
          <w:p w:rsidR="001B6DC1" w:rsidRPr="00491098" w:rsidRDefault="00421EF3" w:rsidP="00D22882">
            <w:pPr>
              <w:jc w:val="right"/>
              <w:rPr>
                <w:color w:val="000000"/>
                <w:sz w:val="18"/>
                <w:szCs w:val="18"/>
              </w:rPr>
            </w:pPr>
            <w:r>
              <w:rPr>
                <w:color w:val="000000"/>
                <w:sz w:val="18"/>
                <w:szCs w:val="18"/>
              </w:rPr>
              <w:t>175.312,95</w:t>
            </w:r>
          </w:p>
        </w:tc>
        <w:tc>
          <w:tcPr>
            <w:tcW w:w="727" w:type="pct"/>
            <w:tcBorders>
              <w:top w:val="nil"/>
              <w:left w:val="nil"/>
              <w:bottom w:val="single" w:sz="4" w:space="0" w:color="auto"/>
              <w:right w:val="single" w:sz="4" w:space="0" w:color="auto"/>
            </w:tcBorders>
            <w:shd w:val="clear" w:color="auto" w:fill="auto"/>
            <w:noWrap/>
            <w:vAlign w:val="center"/>
            <w:hideMark/>
          </w:tcPr>
          <w:p w:rsidR="001B6DC1" w:rsidRPr="00491098" w:rsidRDefault="00421EF3" w:rsidP="00D22882">
            <w:pPr>
              <w:jc w:val="right"/>
              <w:rPr>
                <w:color w:val="000000"/>
                <w:sz w:val="18"/>
                <w:szCs w:val="18"/>
              </w:rPr>
            </w:pPr>
            <w:r>
              <w:rPr>
                <w:color w:val="000000"/>
                <w:sz w:val="18"/>
                <w:szCs w:val="18"/>
              </w:rPr>
              <w:t>481,299,02</w:t>
            </w:r>
          </w:p>
        </w:tc>
      </w:tr>
    </w:tbl>
    <w:p w:rsidR="00421EF3" w:rsidRDefault="00421EF3" w:rsidP="00DE6E4D">
      <w:pPr>
        <w:rPr>
          <w:lang w:eastAsia="en-GB"/>
        </w:rPr>
      </w:pPr>
    </w:p>
    <w:p w:rsidR="001B6DC1" w:rsidRPr="00502637" w:rsidRDefault="001B6DC1" w:rsidP="00DE6E4D">
      <w:pPr>
        <w:rPr>
          <w:lang w:eastAsia="en-GB"/>
        </w:rPr>
      </w:pPr>
      <w:r w:rsidRPr="00491098">
        <w:rPr>
          <w:lang w:eastAsia="en-GB"/>
        </w:rPr>
        <w:t>Null’altro da aggiungere.</w:t>
      </w:r>
    </w:p>
    <w:sectPr w:rsidR="001B6DC1" w:rsidRPr="00502637" w:rsidSect="006F79C2">
      <w:footerReference w:type="even" r:id="rId12"/>
      <w:footerReference w:type="default" r:id="rId13"/>
      <w:pgSz w:w="11906" w:h="16838"/>
      <w:pgMar w:top="127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FC" w:rsidRDefault="00334AFC" w:rsidP="00393406">
      <w:r>
        <w:separator/>
      </w:r>
    </w:p>
  </w:endnote>
  <w:endnote w:type="continuationSeparator" w:id="1">
    <w:p w:rsidR="00334AFC" w:rsidRDefault="00334AFC" w:rsidP="003934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Mat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82" w:rsidRDefault="005E38AD" w:rsidP="00393406">
    <w:pPr>
      <w:pStyle w:val="Pidipagina"/>
      <w:rPr>
        <w:rStyle w:val="Numeropagina"/>
      </w:rPr>
    </w:pPr>
    <w:r>
      <w:rPr>
        <w:rStyle w:val="Numeropagina"/>
      </w:rPr>
      <w:fldChar w:fldCharType="begin"/>
    </w:r>
    <w:r w:rsidR="00D22882">
      <w:rPr>
        <w:rStyle w:val="Numeropagina"/>
      </w:rPr>
      <w:instrText xml:space="preserve">PAGE  </w:instrText>
    </w:r>
    <w:r>
      <w:rPr>
        <w:rStyle w:val="Numeropagina"/>
      </w:rPr>
      <w:fldChar w:fldCharType="end"/>
    </w:r>
  </w:p>
  <w:p w:rsidR="00D22882" w:rsidRDefault="00D22882" w:rsidP="0039340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olor w:val="auto"/>
        <w:sz w:val="22"/>
        <w:szCs w:val="22"/>
      </w:rPr>
      <w:id w:val="-360894811"/>
      <w:docPartObj>
        <w:docPartGallery w:val="Page Numbers (Bottom of Page)"/>
        <w:docPartUnique/>
      </w:docPartObj>
    </w:sdtPr>
    <w:sdtContent>
      <w:sdt>
        <w:sdtPr>
          <w:rPr>
            <w:rFonts w:ascii="Times New Roman" w:hAnsi="Times New Roman"/>
            <w:color w:val="auto"/>
            <w:sz w:val="22"/>
            <w:szCs w:val="22"/>
          </w:rPr>
          <w:id w:val="-1705238520"/>
          <w:docPartObj>
            <w:docPartGallery w:val="Page Numbers (Top of Page)"/>
            <w:docPartUnique/>
          </w:docPartObj>
        </w:sdtPr>
        <w:sdtContent>
          <w:p w:rsidR="00D22882" w:rsidRPr="00F23417" w:rsidRDefault="00D22882" w:rsidP="00F23417">
            <w:pPr>
              <w:pStyle w:val="Pidipagina"/>
              <w:jc w:val="center"/>
              <w:rPr>
                <w:rFonts w:ascii="Times New Roman" w:hAnsi="Times New Roman"/>
                <w:color w:val="auto"/>
                <w:sz w:val="22"/>
                <w:szCs w:val="22"/>
              </w:rPr>
            </w:pPr>
            <w:r w:rsidRPr="00F23417">
              <w:rPr>
                <w:rFonts w:ascii="Times New Roman" w:hAnsi="Times New Roman"/>
                <w:color w:val="auto"/>
                <w:sz w:val="22"/>
                <w:szCs w:val="22"/>
                <w:lang w:val="it-IT"/>
              </w:rPr>
              <w:t xml:space="preserve">Pag. </w:t>
            </w:r>
            <w:r w:rsidR="005E38AD" w:rsidRPr="00F23417">
              <w:rPr>
                <w:rFonts w:ascii="Times New Roman" w:hAnsi="Times New Roman"/>
                <w:b/>
                <w:bCs/>
                <w:color w:val="auto"/>
                <w:sz w:val="22"/>
                <w:szCs w:val="22"/>
              </w:rPr>
              <w:fldChar w:fldCharType="begin"/>
            </w:r>
            <w:r w:rsidRPr="00F23417">
              <w:rPr>
                <w:rFonts w:ascii="Times New Roman" w:hAnsi="Times New Roman"/>
                <w:b/>
                <w:bCs/>
                <w:color w:val="auto"/>
                <w:sz w:val="22"/>
                <w:szCs w:val="22"/>
              </w:rPr>
              <w:instrText>PAGE</w:instrText>
            </w:r>
            <w:r w:rsidR="005E38AD" w:rsidRPr="00F23417">
              <w:rPr>
                <w:rFonts w:ascii="Times New Roman" w:hAnsi="Times New Roman"/>
                <w:b/>
                <w:bCs/>
                <w:color w:val="auto"/>
                <w:sz w:val="22"/>
                <w:szCs w:val="22"/>
              </w:rPr>
              <w:fldChar w:fldCharType="separate"/>
            </w:r>
            <w:r w:rsidR="004E13B8">
              <w:rPr>
                <w:rFonts w:ascii="Times New Roman" w:hAnsi="Times New Roman"/>
                <w:b/>
                <w:bCs/>
                <w:noProof/>
                <w:color w:val="auto"/>
                <w:sz w:val="22"/>
                <w:szCs w:val="22"/>
              </w:rPr>
              <w:t>1</w:t>
            </w:r>
            <w:r w:rsidR="005E38AD" w:rsidRPr="00F23417">
              <w:rPr>
                <w:rFonts w:ascii="Times New Roman" w:hAnsi="Times New Roman"/>
                <w:b/>
                <w:bCs/>
                <w:color w:val="auto"/>
                <w:sz w:val="22"/>
                <w:szCs w:val="22"/>
              </w:rPr>
              <w:fldChar w:fldCharType="end"/>
            </w:r>
            <w:r w:rsidRPr="00F23417">
              <w:rPr>
                <w:rFonts w:ascii="Times New Roman" w:hAnsi="Times New Roman"/>
                <w:color w:val="auto"/>
                <w:sz w:val="22"/>
                <w:szCs w:val="22"/>
                <w:lang w:val="it-IT"/>
              </w:rPr>
              <w:t xml:space="preserve"> a </w:t>
            </w:r>
            <w:r w:rsidR="005E38AD" w:rsidRPr="00F23417">
              <w:rPr>
                <w:rFonts w:ascii="Times New Roman" w:hAnsi="Times New Roman"/>
                <w:b/>
                <w:bCs/>
                <w:color w:val="auto"/>
                <w:sz w:val="22"/>
                <w:szCs w:val="22"/>
              </w:rPr>
              <w:fldChar w:fldCharType="begin"/>
            </w:r>
            <w:r w:rsidRPr="00F23417">
              <w:rPr>
                <w:rFonts w:ascii="Times New Roman" w:hAnsi="Times New Roman"/>
                <w:b/>
                <w:bCs/>
                <w:color w:val="auto"/>
                <w:sz w:val="22"/>
                <w:szCs w:val="22"/>
              </w:rPr>
              <w:instrText>NUMPAGES</w:instrText>
            </w:r>
            <w:r w:rsidR="005E38AD" w:rsidRPr="00F23417">
              <w:rPr>
                <w:rFonts w:ascii="Times New Roman" w:hAnsi="Times New Roman"/>
                <w:b/>
                <w:bCs/>
                <w:color w:val="auto"/>
                <w:sz w:val="22"/>
                <w:szCs w:val="22"/>
              </w:rPr>
              <w:fldChar w:fldCharType="separate"/>
            </w:r>
            <w:r w:rsidR="004E13B8">
              <w:rPr>
                <w:rFonts w:ascii="Times New Roman" w:hAnsi="Times New Roman"/>
                <w:b/>
                <w:bCs/>
                <w:noProof/>
                <w:color w:val="auto"/>
                <w:sz w:val="22"/>
                <w:szCs w:val="22"/>
              </w:rPr>
              <w:t>12</w:t>
            </w:r>
            <w:r w:rsidR="005E38AD" w:rsidRPr="00F23417">
              <w:rPr>
                <w:rFonts w:ascii="Times New Roman" w:hAnsi="Times New Roman"/>
                <w:b/>
                <w:bCs/>
                <w:color w:val="auto"/>
                <w:sz w:val="22"/>
                <w:szCs w:val="22"/>
              </w:rPr>
              <w:fldChar w:fldCharType="end"/>
            </w:r>
          </w:p>
        </w:sdtContent>
      </w:sdt>
    </w:sdtContent>
  </w:sdt>
  <w:p w:rsidR="00D22882" w:rsidRDefault="00D22882" w:rsidP="003934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FC" w:rsidRDefault="00334AFC" w:rsidP="00393406">
      <w:r>
        <w:separator/>
      </w:r>
    </w:p>
  </w:footnote>
  <w:footnote w:type="continuationSeparator" w:id="1">
    <w:p w:rsidR="00334AFC" w:rsidRDefault="00334AFC" w:rsidP="00393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A1A"/>
    <w:multiLevelType w:val="hybridMultilevel"/>
    <w:tmpl w:val="C90E9F9E"/>
    <w:lvl w:ilvl="0" w:tplc="F92A83EE">
      <w:start w:val="3"/>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751095"/>
    <w:multiLevelType w:val="hybridMultilevel"/>
    <w:tmpl w:val="2F90F6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9439B7"/>
    <w:multiLevelType w:val="hybridMultilevel"/>
    <w:tmpl w:val="997477D0"/>
    <w:lvl w:ilvl="0" w:tplc="36A015FC">
      <w:start w:val="2"/>
      <w:numFmt w:val="bullet"/>
      <w:lvlText w:val="-"/>
      <w:lvlJc w:val="left"/>
      <w:pPr>
        <w:ind w:left="720" w:hanging="360"/>
      </w:pPr>
      <w:rPr>
        <w:rFonts w:ascii="Calibri" w:eastAsiaTheme="minorHAnsi" w:hAnsi="Calibri" w:cs="Calibri" w:hint="default"/>
      </w:rPr>
    </w:lvl>
    <w:lvl w:ilvl="1" w:tplc="36A015FC">
      <w:start w:val="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0818DF"/>
    <w:multiLevelType w:val="hybridMultilevel"/>
    <w:tmpl w:val="90627CE8"/>
    <w:lvl w:ilvl="0" w:tplc="FADA096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7A29CA"/>
    <w:multiLevelType w:val="hybridMultilevel"/>
    <w:tmpl w:val="C1428FC0"/>
    <w:lvl w:ilvl="0" w:tplc="F92A83EE">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84848"/>
    <w:multiLevelType w:val="hybridMultilevel"/>
    <w:tmpl w:val="8A207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791BAA"/>
    <w:multiLevelType w:val="multilevel"/>
    <w:tmpl w:val="010460B0"/>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1144"/>
        </w:tabs>
        <w:ind w:left="1144" w:hanging="576"/>
      </w:pPr>
      <w:rPr>
        <w:i w:val="0"/>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7">
    <w:nsid w:val="42A7469A"/>
    <w:multiLevelType w:val="hybridMultilevel"/>
    <w:tmpl w:val="5D4A5A22"/>
    <w:lvl w:ilvl="0" w:tplc="5DD8C042">
      <w:start w:val="4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AF6C96"/>
    <w:multiLevelType w:val="hybridMultilevel"/>
    <w:tmpl w:val="8A20710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7677F2A"/>
    <w:multiLevelType w:val="hybridMultilevel"/>
    <w:tmpl w:val="970C4F5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8A6576E"/>
    <w:multiLevelType w:val="hybridMultilevel"/>
    <w:tmpl w:val="C72693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1D44438"/>
    <w:multiLevelType w:val="multilevel"/>
    <w:tmpl w:val="988246CA"/>
    <w:lvl w:ilvl="0">
      <w:start w:val="3"/>
      <w:numFmt w:val="decimal"/>
      <w:lvlText w:val="%1."/>
      <w:lvlJc w:val="left"/>
      <w:pPr>
        <w:ind w:left="720" w:hanging="720"/>
      </w:pPr>
      <w:rPr>
        <w:rFonts w:hint="default"/>
      </w:rPr>
    </w:lvl>
    <w:lvl w:ilvl="1">
      <w:start w:val="2"/>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nsid w:val="67870369"/>
    <w:multiLevelType w:val="singleLevel"/>
    <w:tmpl w:val="A18CF372"/>
    <w:lvl w:ilvl="0">
      <w:start w:val="1"/>
      <w:numFmt w:val="lowerLetter"/>
      <w:pStyle w:val="Testonormale"/>
      <w:lvlText w:val="%1)"/>
      <w:lvlJc w:val="left"/>
      <w:pPr>
        <w:tabs>
          <w:tab w:val="num" w:pos="720"/>
        </w:tabs>
        <w:ind w:left="720" w:hanging="360"/>
      </w:pPr>
      <w:rPr>
        <w:rFonts w:hint="default"/>
      </w:rPr>
    </w:lvl>
  </w:abstractNum>
  <w:abstractNum w:abstractNumId="13">
    <w:nsid w:val="7C800B36"/>
    <w:multiLevelType w:val="multilevel"/>
    <w:tmpl w:val="5590F4CC"/>
    <w:lvl w:ilvl="0">
      <w:start w:val="1"/>
      <w:numFmt w:val="upperRoman"/>
      <w:pStyle w:val="titoli"/>
      <w:suff w:val="space"/>
      <w:lvlText w:val="Titolo %1"/>
      <w:lvlJc w:val="left"/>
      <w:pPr>
        <w:ind w:left="4537" w:firstLine="0"/>
      </w:pPr>
      <w:rPr>
        <w:rFonts w:ascii="Times New Roman" w:hAnsi="Times New Roman" w:hint="default"/>
        <w:b/>
        <w:i w:val="0"/>
        <w:sz w:val="24"/>
      </w:rPr>
    </w:lvl>
    <w:lvl w:ilvl="1">
      <w:start w:val="1"/>
      <w:numFmt w:val="decimal"/>
      <w:pStyle w:val="capitoli"/>
      <w:suff w:val="space"/>
      <w:lvlText w:val="Capitolo %2"/>
      <w:lvlJc w:val="left"/>
      <w:pPr>
        <w:ind w:left="0" w:firstLine="0"/>
      </w:pPr>
      <w:rPr>
        <w:rFonts w:ascii="Times New Roman" w:hAnsi="Times New Roman" w:hint="default"/>
        <w:b/>
        <w:i w:val="0"/>
        <w:sz w:val="24"/>
      </w:rPr>
    </w:lvl>
    <w:lvl w:ilvl="2">
      <w:start w:val="1"/>
      <w:numFmt w:val="decimal"/>
      <w:lvlRestart w:val="0"/>
      <w:pStyle w:val="numarticoli"/>
      <w:suff w:val="space"/>
      <w:lvlText w:val="Articolo %3"/>
      <w:lvlJc w:val="left"/>
      <w:pPr>
        <w:ind w:left="2552" w:firstLine="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pStyle w:val="nomearticoli"/>
      <w:suff w:val="nothing"/>
      <w:lvlText w:val=""/>
      <w:lvlJc w:val="center"/>
      <w:pPr>
        <w:ind w:left="0" w:firstLine="0"/>
      </w:pPr>
      <w:rPr>
        <w:rFonts w:hint="default"/>
      </w:rPr>
    </w:lvl>
    <w:lvl w:ilvl="4">
      <w:start w:val="1"/>
      <w:numFmt w:val="decimal"/>
      <w:pStyle w:val="commi"/>
      <w:lvlText w:val="%3.%5"/>
      <w:lvlJc w:val="left"/>
      <w:pPr>
        <w:tabs>
          <w:tab w:val="num" w:pos="567"/>
        </w:tabs>
        <w:ind w:left="567" w:hanging="567"/>
      </w:pPr>
      <w:rPr>
        <w:rFonts w:hint="default"/>
        <w:b w:val="0"/>
        <w:color w:val="auto"/>
      </w:rPr>
    </w:lvl>
    <w:lvl w:ilvl="5">
      <w:start w:val="1"/>
      <w:numFmt w:val="lowerLetter"/>
      <w:pStyle w:val="elencoarabo"/>
      <w:lvlText w:val="%6)"/>
      <w:lvlJc w:val="left"/>
      <w:pPr>
        <w:tabs>
          <w:tab w:val="num" w:pos="1277"/>
        </w:tabs>
        <w:ind w:left="1277" w:hanging="567"/>
      </w:pPr>
      <w:rPr>
        <w:rFonts w:hint="default"/>
      </w:rPr>
    </w:lvl>
    <w:lvl w:ilvl="6">
      <w:start w:val="1"/>
      <w:numFmt w:val="lowerRoman"/>
      <w:pStyle w:val="elencoromano"/>
      <w:lvlText w:val="%7)"/>
      <w:lvlJc w:val="left"/>
      <w:pPr>
        <w:tabs>
          <w:tab w:val="num" w:pos="1854"/>
        </w:tabs>
        <w:ind w:left="1418" w:hanging="284"/>
      </w:pPr>
      <w:rPr>
        <w:rFonts w:hint="default"/>
      </w:rPr>
    </w:lvl>
    <w:lvl w:ilvl="7">
      <w:start w:val="1"/>
      <w:numFmt w:val="decimal"/>
      <w:pStyle w:val="elenconumeri"/>
      <w:lvlText w:val="%8)"/>
      <w:lvlJc w:val="left"/>
      <w:pPr>
        <w:tabs>
          <w:tab w:val="num" w:pos="1494"/>
        </w:tabs>
        <w:ind w:left="1418" w:hanging="284"/>
      </w:pPr>
      <w:rPr>
        <w:rFonts w:hint="default"/>
      </w:rPr>
    </w:lvl>
    <w:lvl w:ilvl="8">
      <w:start w:val="1"/>
      <w:numFmt w:val="none"/>
      <w:lvlText w:val=""/>
      <w:lvlJc w:val="left"/>
      <w:pPr>
        <w:tabs>
          <w:tab w:val="num" w:pos="1584"/>
        </w:tabs>
        <w:ind w:left="1584" w:hanging="1584"/>
      </w:pPr>
      <w:rPr>
        <w:rFonts w:hint="default"/>
      </w:rPr>
    </w:lvl>
  </w:abstractNum>
  <w:num w:numId="1">
    <w:abstractNumId w:val="6"/>
  </w:num>
  <w:num w:numId="2">
    <w:abstractNumId w:val="12"/>
  </w:num>
  <w:num w:numId="3">
    <w:abstractNumId w:val="13"/>
  </w:num>
  <w:num w:numId="4">
    <w:abstractNumId w:val="5"/>
  </w:num>
  <w:num w:numId="5">
    <w:abstractNumId w:val="0"/>
  </w:num>
  <w:num w:numId="6">
    <w:abstractNumId w:val="8"/>
  </w:num>
  <w:num w:numId="7">
    <w:abstractNumId w:val="4"/>
  </w:num>
  <w:num w:numId="8">
    <w:abstractNumId w:val="1"/>
  </w:num>
  <w:num w:numId="9">
    <w:abstractNumId w:val="3"/>
  </w:num>
  <w:num w:numId="10">
    <w:abstractNumId w:val="9"/>
  </w:num>
  <w:num w:numId="11">
    <w:abstractNumId w:val="10"/>
  </w:num>
  <w:num w:numId="12">
    <w:abstractNumId w:val="7"/>
  </w:num>
  <w:num w:numId="13">
    <w:abstractNumId w:val="6"/>
  </w:num>
  <w:num w:numId="14">
    <w:abstractNumId w:val="6"/>
  </w:num>
  <w:num w:numId="15">
    <w:abstractNumId w:val="11"/>
  </w:num>
  <w:num w:numId="16">
    <w:abstractNumId w:val="6"/>
    <w:lvlOverride w:ilvl="0">
      <w:startOverride w:val="3"/>
    </w:lvlOverride>
    <w:lvlOverride w:ilvl="1">
      <w:startOverride w:val="2"/>
    </w:lvlOverride>
    <w:lvlOverride w:ilvl="2">
      <w:startOverride w:val="1"/>
    </w:lvlOverride>
    <w:lvlOverride w:ilvl="3">
      <w:startOverride w:val="3"/>
    </w:lvlOverride>
  </w:num>
  <w:num w:numId="17">
    <w:abstractNumId w:val="6"/>
    <w:lvlOverride w:ilvl="0">
      <w:startOverride w:val="3"/>
    </w:lvlOverride>
    <w:lvlOverride w:ilvl="1">
      <w:startOverride w:val="2"/>
    </w:lvlOverride>
    <w:lvlOverride w:ilvl="2">
      <w:startOverride w:val="1"/>
    </w:lvlOverride>
    <w:lvlOverride w:ilvl="3">
      <w:startOverride w:val="4"/>
    </w:lvlOverride>
  </w:num>
  <w:num w:numId="18">
    <w:abstractNumId w:val="6"/>
    <w:lvlOverride w:ilvl="0">
      <w:startOverride w:val="3"/>
    </w:lvlOverride>
    <w:lvlOverride w:ilvl="1">
      <w:startOverride w:val="2"/>
    </w:lvlOverride>
    <w:lvlOverride w:ilvl="2">
      <w:startOverride w:val="1"/>
    </w:lvlOverride>
    <w:lvlOverride w:ilvl="3">
      <w:startOverride w:val="3"/>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283"/>
  <w:characterSpacingControl w:val="doNotCompress"/>
  <w:footnotePr>
    <w:footnote w:id="0"/>
    <w:footnote w:id="1"/>
  </w:footnotePr>
  <w:endnotePr>
    <w:endnote w:id="0"/>
    <w:endnote w:id="1"/>
  </w:endnotePr>
  <w:compat/>
  <w:rsids>
    <w:rsidRoot w:val="000B7281"/>
    <w:rsid w:val="00000B9D"/>
    <w:rsid w:val="00001870"/>
    <w:rsid w:val="00002240"/>
    <w:rsid w:val="00002EE3"/>
    <w:rsid w:val="000042DF"/>
    <w:rsid w:val="0000592F"/>
    <w:rsid w:val="00005C67"/>
    <w:rsid w:val="000061DE"/>
    <w:rsid w:val="000062AA"/>
    <w:rsid w:val="000105A2"/>
    <w:rsid w:val="00010677"/>
    <w:rsid w:val="00010966"/>
    <w:rsid w:val="000111AF"/>
    <w:rsid w:val="000130F8"/>
    <w:rsid w:val="00013555"/>
    <w:rsid w:val="000136FD"/>
    <w:rsid w:val="000138C3"/>
    <w:rsid w:val="000147D8"/>
    <w:rsid w:val="00015A88"/>
    <w:rsid w:val="00017016"/>
    <w:rsid w:val="00020407"/>
    <w:rsid w:val="00020647"/>
    <w:rsid w:val="00021BFC"/>
    <w:rsid w:val="00021F42"/>
    <w:rsid w:val="0002296C"/>
    <w:rsid w:val="00022B78"/>
    <w:rsid w:val="00023BB5"/>
    <w:rsid w:val="00024079"/>
    <w:rsid w:val="000251A1"/>
    <w:rsid w:val="00026264"/>
    <w:rsid w:val="00026729"/>
    <w:rsid w:val="00026A4F"/>
    <w:rsid w:val="000277A2"/>
    <w:rsid w:val="0003051E"/>
    <w:rsid w:val="000308FC"/>
    <w:rsid w:val="00030ECD"/>
    <w:rsid w:val="0003102E"/>
    <w:rsid w:val="0003196F"/>
    <w:rsid w:val="00031A19"/>
    <w:rsid w:val="00033386"/>
    <w:rsid w:val="000340C8"/>
    <w:rsid w:val="00034C4A"/>
    <w:rsid w:val="000368FC"/>
    <w:rsid w:val="00040587"/>
    <w:rsid w:val="00040C86"/>
    <w:rsid w:val="00040DB0"/>
    <w:rsid w:val="0004185F"/>
    <w:rsid w:val="00041FF2"/>
    <w:rsid w:val="0004324B"/>
    <w:rsid w:val="00045005"/>
    <w:rsid w:val="000452C0"/>
    <w:rsid w:val="00045E8E"/>
    <w:rsid w:val="000461F2"/>
    <w:rsid w:val="000478D1"/>
    <w:rsid w:val="00050306"/>
    <w:rsid w:val="000504A4"/>
    <w:rsid w:val="00050F8D"/>
    <w:rsid w:val="0005163C"/>
    <w:rsid w:val="00051D74"/>
    <w:rsid w:val="00052B4E"/>
    <w:rsid w:val="00052F8D"/>
    <w:rsid w:val="00053817"/>
    <w:rsid w:val="00054389"/>
    <w:rsid w:val="000543FF"/>
    <w:rsid w:val="0005564C"/>
    <w:rsid w:val="0005675A"/>
    <w:rsid w:val="00057A0B"/>
    <w:rsid w:val="0006055B"/>
    <w:rsid w:val="000607B5"/>
    <w:rsid w:val="00060BAE"/>
    <w:rsid w:val="00061812"/>
    <w:rsid w:val="00061B2E"/>
    <w:rsid w:val="00061DCD"/>
    <w:rsid w:val="000627AC"/>
    <w:rsid w:val="000659A8"/>
    <w:rsid w:val="00066E6A"/>
    <w:rsid w:val="0007001D"/>
    <w:rsid w:val="00070233"/>
    <w:rsid w:val="00070750"/>
    <w:rsid w:val="00070AEF"/>
    <w:rsid w:val="000725C5"/>
    <w:rsid w:val="00072B23"/>
    <w:rsid w:val="00073B45"/>
    <w:rsid w:val="00074CF8"/>
    <w:rsid w:val="00075642"/>
    <w:rsid w:val="000759EF"/>
    <w:rsid w:val="00076547"/>
    <w:rsid w:val="000766A7"/>
    <w:rsid w:val="000767C1"/>
    <w:rsid w:val="0007709F"/>
    <w:rsid w:val="00080497"/>
    <w:rsid w:val="0008071C"/>
    <w:rsid w:val="000809A7"/>
    <w:rsid w:val="00080FC8"/>
    <w:rsid w:val="000818DC"/>
    <w:rsid w:val="00081E43"/>
    <w:rsid w:val="00084F21"/>
    <w:rsid w:val="000851ED"/>
    <w:rsid w:val="000853C7"/>
    <w:rsid w:val="00085630"/>
    <w:rsid w:val="00085F71"/>
    <w:rsid w:val="00090F95"/>
    <w:rsid w:val="000923FB"/>
    <w:rsid w:val="000929FB"/>
    <w:rsid w:val="00092CBF"/>
    <w:rsid w:val="0009510F"/>
    <w:rsid w:val="0009512C"/>
    <w:rsid w:val="000959BE"/>
    <w:rsid w:val="00096557"/>
    <w:rsid w:val="00096929"/>
    <w:rsid w:val="000971F4"/>
    <w:rsid w:val="000A14D1"/>
    <w:rsid w:val="000A2616"/>
    <w:rsid w:val="000A32E6"/>
    <w:rsid w:val="000A3D6D"/>
    <w:rsid w:val="000A4113"/>
    <w:rsid w:val="000A470A"/>
    <w:rsid w:val="000A512F"/>
    <w:rsid w:val="000B0A8C"/>
    <w:rsid w:val="000B1376"/>
    <w:rsid w:val="000B212B"/>
    <w:rsid w:val="000B24AF"/>
    <w:rsid w:val="000B2B0C"/>
    <w:rsid w:val="000B2E41"/>
    <w:rsid w:val="000B3497"/>
    <w:rsid w:val="000B3864"/>
    <w:rsid w:val="000B3D66"/>
    <w:rsid w:val="000B47AE"/>
    <w:rsid w:val="000B4D4F"/>
    <w:rsid w:val="000B659B"/>
    <w:rsid w:val="000B67BD"/>
    <w:rsid w:val="000B7281"/>
    <w:rsid w:val="000C005B"/>
    <w:rsid w:val="000C0AD7"/>
    <w:rsid w:val="000C15AF"/>
    <w:rsid w:val="000C1804"/>
    <w:rsid w:val="000C3C15"/>
    <w:rsid w:val="000C6560"/>
    <w:rsid w:val="000C68FA"/>
    <w:rsid w:val="000C750E"/>
    <w:rsid w:val="000D0B01"/>
    <w:rsid w:val="000D170C"/>
    <w:rsid w:val="000D1C68"/>
    <w:rsid w:val="000D1EA9"/>
    <w:rsid w:val="000D22E1"/>
    <w:rsid w:val="000D29A4"/>
    <w:rsid w:val="000D2DB3"/>
    <w:rsid w:val="000D327C"/>
    <w:rsid w:val="000D3339"/>
    <w:rsid w:val="000D3694"/>
    <w:rsid w:val="000D3D62"/>
    <w:rsid w:val="000D4A81"/>
    <w:rsid w:val="000D5144"/>
    <w:rsid w:val="000D63E4"/>
    <w:rsid w:val="000D6821"/>
    <w:rsid w:val="000D790F"/>
    <w:rsid w:val="000D7B67"/>
    <w:rsid w:val="000E0412"/>
    <w:rsid w:val="000E167D"/>
    <w:rsid w:val="000E28D4"/>
    <w:rsid w:val="000E5F1E"/>
    <w:rsid w:val="000E629F"/>
    <w:rsid w:val="000E7F51"/>
    <w:rsid w:val="000F1EED"/>
    <w:rsid w:val="000F2444"/>
    <w:rsid w:val="000F27E4"/>
    <w:rsid w:val="000F30F4"/>
    <w:rsid w:val="000F33C4"/>
    <w:rsid w:val="000F5A01"/>
    <w:rsid w:val="000F6743"/>
    <w:rsid w:val="000F6ABE"/>
    <w:rsid w:val="00100E51"/>
    <w:rsid w:val="001013E3"/>
    <w:rsid w:val="00102322"/>
    <w:rsid w:val="001025FA"/>
    <w:rsid w:val="00103301"/>
    <w:rsid w:val="0010565B"/>
    <w:rsid w:val="00106F2E"/>
    <w:rsid w:val="001115E8"/>
    <w:rsid w:val="00111E8E"/>
    <w:rsid w:val="0011290D"/>
    <w:rsid w:val="0011394C"/>
    <w:rsid w:val="00113BA9"/>
    <w:rsid w:val="0011493C"/>
    <w:rsid w:val="001175E2"/>
    <w:rsid w:val="00120500"/>
    <w:rsid w:val="00120754"/>
    <w:rsid w:val="00121A4C"/>
    <w:rsid w:val="0012282A"/>
    <w:rsid w:val="00122B70"/>
    <w:rsid w:val="00123E3B"/>
    <w:rsid w:val="001251E9"/>
    <w:rsid w:val="00126EBC"/>
    <w:rsid w:val="0013024C"/>
    <w:rsid w:val="00131398"/>
    <w:rsid w:val="001314AC"/>
    <w:rsid w:val="00131C05"/>
    <w:rsid w:val="00133387"/>
    <w:rsid w:val="0013463D"/>
    <w:rsid w:val="00135007"/>
    <w:rsid w:val="0013574D"/>
    <w:rsid w:val="00135CAF"/>
    <w:rsid w:val="00136456"/>
    <w:rsid w:val="00136D68"/>
    <w:rsid w:val="001371D0"/>
    <w:rsid w:val="00140308"/>
    <w:rsid w:val="0014058E"/>
    <w:rsid w:val="001423C5"/>
    <w:rsid w:val="00142DCE"/>
    <w:rsid w:val="0014565F"/>
    <w:rsid w:val="0014582D"/>
    <w:rsid w:val="00146967"/>
    <w:rsid w:val="00146AA0"/>
    <w:rsid w:val="0014740B"/>
    <w:rsid w:val="001478B5"/>
    <w:rsid w:val="001539C8"/>
    <w:rsid w:val="00154782"/>
    <w:rsid w:val="001547FA"/>
    <w:rsid w:val="00154F9B"/>
    <w:rsid w:val="00156F69"/>
    <w:rsid w:val="00160611"/>
    <w:rsid w:val="00160B6B"/>
    <w:rsid w:val="001628B2"/>
    <w:rsid w:val="00162A7B"/>
    <w:rsid w:val="001639CB"/>
    <w:rsid w:val="00163C18"/>
    <w:rsid w:val="0016501B"/>
    <w:rsid w:val="001655F5"/>
    <w:rsid w:val="00165EC8"/>
    <w:rsid w:val="00166F68"/>
    <w:rsid w:val="0017069F"/>
    <w:rsid w:val="001707BB"/>
    <w:rsid w:val="00170B72"/>
    <w:rsid w:val="00170CB2"/>
    <w:rsid w:val="001718F4"/>
    <w:rsid w:val="00173B34"/>
    <w:rsid w:val="00173C22"/>
    <w:rsid w:val="00175517"/>
    <w:rsid w:val="00175B0F"/>
    <w:rsid w:val="00175C56"/>
    <w:rsid w:val="00177743"/>
    <w:rsid w:val="00177E5F"/>
    <w:rsid w:val="001803AB"/>
    <w:rsid w:val="00180418"/>
    <w:rsid w:val="00181912"/>
    <w:rsid w:val="00182737"/>
    <w:rsid w:val="00183171"/>
    <w:rsid w:val="0018533B"/>
    <w:rsid w:val="00186271"/>
    <w:rsid w:val="00186937"/>
    <w:rsid w:val="001871BE"/>
    <w:rsid w:val="00187E96"/>
    <w:rsid w:val="00190080"/>
    <w:rsid w:val="001904E6"/>
    <w:rsid w:val="001907AC"/>
    <w:rsid w:val="00190AA7"/>
    <w:rsid w:val="001911B3"/>
    <w:rsid w:val="00191492"/>
    <w:rsid w:val="00191716"/>
    <w:rsid w:val="00191F12"/>
    <w:rsid w:val="001939F3"/>
    <w:rsid w:val="00193A2C"/>
    <w:rsid w:val="00194E6B"/>
    <w:rsid w:val="0019514A"/>
    <w:rsid w:val="001959B0"/>
    <w:rsid w:val="00197C12"/>
    <w:rsid w:val="00197F64"/>
    <w:rsid w:val="001A07BA"/>
    <w:rsid w:val="001A0DF4"/>
    <w:rsid w:val="001A1508"/>
    <w:rsid w:val="001A2593"/>
    <w:rsid w:val="001A26F9"/>
    <w:rsid w:val="001A2E02"/>
    <w:rsid w:val="001A397E"/>
    <w:rsid w:val="001A405B"/>
    <w:rsid w:val="001A4603"/>
    <w:rsid w:val="001A468B"/>
    <w:rsid w:val="001A5B82"/>
    <w:rsid w:val="001A6307"/>
    <w:rsid w:val="001A6658"/>
    <w:rsid w:val="001A67A9"/>
    <w:rsid w:val="001A7966"/>
    <w:rsid w:val="001B1362"/>
    <w:rsid w:val="001B1932"/>
    <w:rsid w:val="001B3665"/>
    <w:rsid w:val="001B4644"/>
    <w:rsid w:val="001B488C"/>
    <w:rsid w:val="001B4A30"/>
    <w:rsid w:val="001B50C3"/>
    <w:rsid w:val="001B5B41"/>
    <w:rsid w:val="001B5F99"/>
    <w:rsid w:val="001B6AC6"/>
    <w:rsid w:val="001B6DC1"/>
    <w:rsid w:val="001C0811"/>
    <w:rsid w:val="001C18FD"/>
    <w:rsid w:val="001C4A75"/>
    <w:rsid w:val="001C58C7"/>
    <w:rsid w:val="001D033C"/>
    <w:rsid w:val="001D0993"/>
    <w:rsid w:val="001D2974"/>
    <w:rsid w:val="001D4116"/>
    <w:rsid w:val="001D722F"/>
    <w:rsid w:val="001D77DF"/>
    <w:rsid w:val="001D7E16"/>
    <w:rsid w:val="001E0002"/>
    <w:rsid w:val="001E0BE3"/>
    <w:rsid w:val="001E3224"/>
    <w:rsid w:val="001E33B3"/>
    <w:rsid w:val="001E6AB3"/>
    <w:rsid w:val="001E6CA9"/>
    <w:rsid w:val="001E7038"/>
    <w:rsid w:val="001F0621"/>
    <w:rsid w:val="001F2537"/>
    <w:rsid w:val="001F255C"/>
    <w:rsid w:val="001F2A91"/>
    <w:rsid w:val="001F3F79"/>
    <w:rsid w:val="001F593D"/>
    <w:rsid w:val="001F5A61"/>
    <w:rsid w:val="001F6091"/>
    <w:rsid w:val="001F67B1"/>
    <w:rsid w:val="001F7127"/>
    <w:rsid w:val="001F7168"/>
    <w:rsid w:val="001F7903"/>
    <w:rsid w:val="00200217"/>
    <w:rsid w:val="00200E71"/>
    <w:rsid w:val="00201004"/>
    <w:rsid w:val="002013B8"/>
    <w:rsid w:val="0020324D"/>
    <w:rsid w:val="00203904"/>
    <w:rsid w:val="00204FE0"/>
    <w:rsid w:val="00206DEA"/>
    <w:rsid w:val="00207DB4"/>
    <w:rsid w:val="002102BB"/>
    <w:rsid w:val="00210755"/>
    <w:rsid w:val="00211925"/>
    <w:rsid w:val="0021388B"/>
    <w:rsid w:val="00213B78"/>
    <w:rsid w:val="002140DD"/>
    <w:rsid w:val="002142B3"/>
    <w:rsid w:val="00215023"/>
    <w:rsid w:val="0021515B"/>
    <w:rsid w:val="00216992"/>
    <w:rsid w:val="00216D86"/>
    <w:rsid w:val="00217AFA"/>
    <w:rsid w:val="00220507"/>
    <w:rsid w:val="00223120"/>
    <w:rsid w:val="00224082"/>
    <w:rsid w:val="002244C8"/>
    <w:rsid w:val="00225196"/>
    <w:rsid w:val="002255C7"/>
    <w:rsid w:val="002262E7"/>
    <w:rsid w:val="002264FD"/>
    <w:rsid w:val="00227D62"/>
    <w:rsid w:val="00231194"/>
    <w:rsid w:val="002311C4"/>
    <w:rsid w:val="002332B7"/>
    <w:rsid w:val="00233CD7"/>
    <w:rsid w:val="00233E44"/>
    <w:rsid w:val="002347A6"/>
    <w:rsid w:val="002348B4"/>
    <w:rsid w:val="00234F25"/>
    <w:rsid w:val="002350B7"/>
    <w:rsid w:val="00235864"/>
    <w:rsid w:val="002359AE"/>
    <w:rsid w:val="002361AB"/>
    <w:rsid w:val="0023664B"/>
    <w:rsid w:val="002372EC"/>
    <w:rsid w:val="0023738F"/>
    <w:rsid w:val="00237B38"/>
    <w:rsid w:val="00242D2F"/>
    <w:rsid w:val="0024384E"/>
    <w:rsid w:val="00244FB1"/>
    <w:rsid w:val="00245431"/>
    <w:rsid w:val="0024659E"/>
    <w:rsid w:val="00246A3E"/>
    <w:rsid w:val="0025054C"/>
    <w:rsid w:val="00251572"/>
    <w:rsid w:val="00251D93"/>
    <w:rsid w:val="0025233C"/>
    <w:rsid w:val="0025239E"/>
    <w:rsid w:val="00252AFC"/>
    <w:rsid w:val="0025342B"/>
    <w:rsid w:val="00253DBF"/>
    <w:rsid w:val="00253F27"/>
    <w:rsid w:val="00257ECD"/>
    <w:rsid w:val="0026080A"/>
    <w:rsid w:val="002609C2"/>
    <w:rsid w:val="0026169D"/>
    <w:rsid w:val="0026283A"/>
    <w:rsid w:val="00262D11"/>
    <w:rsid w:val="00264F24"/>
    <w:rsid w:val="00265513"/>
    <w:rsid w:val="00266412"/>
    <w:rsid w:val="002671AD"/>
    <w:rsid w:val="002672A8"/>
    <w:rsid w:val="00267DCF"/>
    <w:rsid w:val="002703D7"/>
    <w:rsid w:val="00271680"/>
    <w:rsid w:val="0027186A"/>
    <w:rsid w:val="0027273E"/>
    <w:rsid w:val="00272825"/>
    <w:rsid w:val="002728FB"/>
    <w:rsid w:val="0027430D"/>
    <w:rsid w:val="00274C53"/>
    <w:rsid w:val="00275461"/>
    <w:rsid w:val="002754C7"/>
    <w:rsid w:val="00276D72"/>
    <w:rsid w:val="00277D08"/>
    <w:rsid w:val="002800E2"/>
    <w:rsid w:val="00280D15"/>
    <w:rsid w:val="002828CE"/>
    <w:rsid w:val="00282D83"/>
    <w:rsid w:val="002830E8"/>
    <w:rsid w:val="00283AD3"/>
    <w:rsid w:val="00284A8F"/>
    <w:rsid w:val="0028530B"/>
    <w:rsid w:val="00285DFC"/>
    <w:rsid w:val="002902B4"/>
    <w:rsid w:val="00293C16"/>
    <w:rsid w:val="0029412F"/>
    <w:rsid w:val="002945DF"/>
    <w:rsid w:val="00294EFC"/>
    <w:rsid w:val="002A04C3"/>
    <w:rsid w:val="002A1845"/>
    <w:rsid w:val="002A22AB"/>
    <w:rsid w:val="002A312D"/>
    <w:rsid w:val="002A31BA"/>
    <w:rsid w:val="002A3A4E"/>
    <w:rsid w:val="002A4E87"/>
    <w:rsid w:val="002A4FA3"/>
    <w:rsid w:val="002A6942"/>
    <w:rsid w:val="002A726B"/>
    <w:rsid w:val="002A7383"/>
    <w:rsid w:val="002B0710"/>
    <w:rsid w:val="002B1B93"/>
    <w:rsid w:val="002B337F"/>
    <w:rsid w:val="002B53FA"/>
    <w:rsid w:val="002B5C94"/>
    <w:rsid w:val="002B6352"/>
    <w:rsid w:val="002B703E"/>
    <w:rsid w:val="002B714E"/>
    <w:rsid w:val="002B7F53"/>
    <w:rsid w:val="002C05AB"/>
    <w:rsid w:val="002C1F62"/>
    <w:rsid w:val="002C206A"/>
    <w:rsid w:val="002C23BA"/>
    <w:rsid w:val="002C2678"/>
    <w:rsid w:val="002C279A"/>
    <w:rsid w:val="002C2A35"/>
    <w:rsid w:val="002C2FAE"/>
    <w:rsid w:val="002C3057"/>
    <w:rsid w:val="002C3113"/>
    <w:rsid w:val="002C370C"/>
    <w:rsid w:val="002C3882"/>
    <w:rsid w:val="002C3D4F"/>
    <w:rsid w:val="002C7250"/>
    <w:rsid w:val="002D03C0"/>
    <w:rsid w:val="002D0CDF"/>
    <w:rsid w:val="002D2FC5"/>
    <w:rsid w:val="002D332F"/>
    <w:rsid w:val="002D357B"/>
    <w:rsid w:val="002D455F"/>
    <w:rsid w:val="002D4AF0"/>
    <w:rsid w:val="002D5125"/>
    <w:rsid w:val="002D65B4"/>
    <w:rsid w:val="002E066F"/>
    <w:rsid w:val="002E231E"/>
    <w:rsid w:val="002E317D"/>
    <w:rsid w:val="002E3CF7"/>
    <w:rsid w:val="002E513A"/>
    <w:rsid w:val="002E5959"/>
    <w:rsid w:val="002E5BBE"/>
    <w:rsid w:val="002E6640"/>
    <w:rsid w:val="002E6801"/>
    <w:rsid w:val="002E774B"/>
    <w:rsid w:val="002F063E"/>
    <w:rsid w:val="002F06E2"/>
    <w:rsid w:val="002F0794"/>
    <w:rsid w:val="002F0D3C"/>
    <w:rsid w:val="002F23A4"/>
    <w:rsid w:val="002F3EF1"/>
    <w:rsid w:val="002F435B"/>
    <w:rsid w:val="002F540E"/>
    <w:rsid w:val="002F5AA0"/>
    <w:rsid w:val="002F5B03"/>
    <w:rsid w:val="002F7CC5"/>
    <w:rsid w:val="002F7D3B"/>
    <w:rsid w:val="002F7F80"/>
    <w:rsid w:val="00302037"/>
    <w:rsid w:val="00302CED"/>
    <w:rsid w:val="00302EBE"/>
    <w:rsid w:val="003041F9"/>
    <w:rsid w:val="003045C2"/>
    <w:rsid w:val="0030533D"/>
    <w:rsid w:val="00305479"/>
    <w:rsid w:val="00306025"/>
    <w:rsid w:val="003114BC"/>
    <w:rsid w:val="00311872"/>
    <w:rsid w:val="00311DF1"/>
    <w:rsid w:val="00312B7C"/>
    <w:rsid w:val="00312D82"/>
    <w:rsid w:val="00313355"/>
    <w:rsid w:val="003146C5"/>
    <w:rsid w:val="00314D56"/>
    <w:rsid w:val="0031673A"/>
    <w:rsid w:val="003169E0"/>
    <w:rsid w:val="00316B8B"/>
    <w:rsid w:val="00317970"/>
    <w:rsid w:val="00317DED"/>
    <w:rsid w:val="003203CE"/>
    <w:rsid w:val="00321AE8"/>
    <w:rsid w:val="00322EBB"/>
    <w:rsid w:val="003239C3"/>
    <w:rsid w:val="003250F3"/>
    <w:rsid w:val="00325921"/>
    <w:rsid w:val="00325CB4"/>
    <w:rsid w:val="0032684D"/>
    <w:rsid w:val="003269E7"/>
    <w:rsid w:val="00327020"/>
    <w:rsid w:val="0033008A"/>
    <w:rsid w:val="00331A6F"/>
    <w:rsid w:val="00332465"/>
    <w:rsid w:val="00332E56"/>
    <w:rsid w:val="0033393B"/>
    <w:rsid w:val="00333B67"/>
    <w:rsid w:val="00334AFC"/>
    <w:rsid w:val="003355FB"/>
    <w:rsid w:val="00335BE0"/>
    <w:rsid w:val="00336035"/>
    <w:rsid w:val="0033793C"/>
    <w:rsid w:val="00340B5D"/>
    <w:rsid w:val="0034191C"/>
    <w:rsid w:val="00341982"/>
    <w:rsid w:val="003422B1"/>
    <w:rsid w:val="0034452C"/>
    <w:rsid w:val="003455E5"/>
    <w:rsid w:val="00345EA0"/>
    <w:rsid w:val="0034721F"/>
    <w:rsid w:val="00347450"/>
    <w:rsid w:val="00347E63"/>
    <w:rsid w:val="0035062F"/>
    <w:rsid w:val="0035102E"/>
    <w:rsid w:val="003511C3"/>
    <w:rsid w:val="003519E7"/>
    <w:rsid w:val="00351CC0"/>
    <w:rsid w:val="00351F3D"/>
    <w:rsid w:val="0035218A"/>
    <w:rsid w:val="003540AD"/>
    <w:rsid w:val="003544C3"/>
    <w:rsid w:val="0035485B"/>
    <w:rsid w:val="0035596E"/>
    <w:rsid w:val="00355A22"/>
    <w:rsid w:val="00355C3D"/>
    <w:rsid w:val="00356C90"/>
    <w:rsid w:val="00357082"/>
    <w:rsid w:val="00357973"/>
    <w:rsid w:val="0036031B"/>
    <w:rsid w:val="00360DE7"/>
    <w:rsid w:val="003610DD"/>
    <w:rsid w:val="0036159B"/>
    <w:rsid w:val="00361963"/>
    <w:rsid w:val="0036235A"/>
    <w:rsid w:val="00364714"/>
    <w:rsid w:val="00364BE5"/>
    <w:rsid w:val="0036582D"/>
    <w:rsid w:val="0036596D"/>
    <w:rsid w:val="0036656A"/>
    <w:rsid w:val="00370B2F"/>
    <w:rsid w:val="00370ECB"/>
    <w:rsid w:val="0037295F"/>
    <w:rsid w:val="00372FED"/>
    <w:rsid w:val="00373792"/>
    <w:rsid w:val="00374317"/>
    <w:rsid w:val="0037505F"/>
    <w:rsid w:val="0037543F"/>
    <w:rsid w:val="00375960"/>
    <w:rsid w:val="003771FA"/>
    <w:rsid w:val="0037778F"/>
    <w:rsid w:val="0038188C"/>
    <w:rsid w:val="00383696"/>
    <w:rsid w:val="00383BE7"/>
    <w:rsid w:val="00384B8E"/>
    <w:rsid w:val="003860E4"/>
    <w:rsid w:val="00386B7F"/>
    <w:rsid w:val="003874EA"/>
    <w:rsid w:val="003907A8"/>
    <w:rsid w:val="00390FB7"/>
    <w:rsid w:val="00392020"/>
    <w:rsid w:val="0039312B"/>
    <w:rsid w:val="00393206"/>
    <w:rsid w:val="00393406"/>
    <w:rsid w:val="00393572"/>
    <w:rsid w:val="003937FA"/>
    <w:rsid w:val="003944BB"/>
    <w:rsid w:val="0039571B"/>
    <w:rsid w:val="00395A4D"/>
    <w:rsid w:val="003A0C6A"/>
    <w:rsid w:val="003A128B"/>
    <w:rsid w:val="003A25F4"/>
    <w:rsid w:val="003A341C"/>
    <w:rsid w:val="003A4C8C"/>
    <w:rsid w:val="003A6B62"/>
    <w:rsid w:val="003A6DFA"/>
    <w:rsid w:val="003B022E"/>
    <w:rsid w:val="003B076D"/>
    <w:rsid w:val="003B0C6A"/>
    <w:rsid w:val="003B24B4"/>
    <w:rsid w:val="003B2CCA"/>
    <w:rsid w:val="003B3BA8"/>
    <w:rsid w:val="003B4D65"/>
    <w:rsid w:val="003B4F56"/>
    <w:rsid w:val="003B5B2A"/>
    <w:rsid w:val="003B5CCD"/>
    <w:rsid w:val="003B66B9"/>
    <w:rsid w:val="003B7184"/>
    <w:rsid w:val="003B7B03"/>
    <w:rsid w:val="003C022C"/>
    <w:rsid w:val="003C07A1"/>
    <w:rsid w:val="003C1048"/>
    <w:rsid w:val="003C2710"/>
    <w:rsid w:val="003C2791"/>
    <w:rsid w:val="003C2E2B"/>
    <w:rsid w:val="003C389B"/>
    <w:rsid w:val="003C59FB"/>
    <w:rsid w:val="003C7593"/>
    <w:rsid w:val="003C7E8A"/>
    <w:rsid w:val="003D062C"/>
    <w:rsid w:val="003D0957"/>
    <w:rsid w:val="003D1A8F"/>
    <w:rsid w:val="003D21F1"/>
    <w:rsid w:val="003D2FA1"/>
    <w:rsid w:val="003D3361"/>
    <w:rsid w:val="003D3B6C"/>
    <w:rsid w:val="003D3CCA"/>
    <w:rsid w:val="003D450B"/>
    <w:rsid w:val="003D4A24"/>
    <w:rsid w:val="003D4C76"/>
    <w:rsid w:val="003D7088"/>
    <w:rsid w:val="003D725F"/>
    <w:rsid w:val="003D7C8E"/>
    <w:rsid w:val="003E058C"/>
    <w:rsid w:val="003E0C1B"/>
    <w:rsid w:val="003E1437"/>
    <w:rsid w:val="003E17E3"/>
    <w:rsid w:val="003E26C6"/>
    <w:rsid w:val="003E336F"/>
    <w:rsid w:val="003E3783"/>
    <w:rsid w:val="003E49D9"/>
    <w:rsid w:val="003E5499"/>
    <w:rsid w:val="003E56D9"/>
    <w:rsid w:val="003E6170"/>
    <w:rsid w:val="003E6788"/>
    <w:rsid w:val="003E7730"/>
    <w:rsid w:val="003E7BC5"/>
    <w:rsid w:val="003F03B4"/>
    <w:rsid w:val="003F1852"/>
    <w:rsid w:val="003F28C9"/>
    <w:rsid w:val="003F3024"/>
    <w:rsid w:val="003F360E"/>
    <w:rsid w:val="003F5CE7"/>
    <w:rsid w:val="003F6EBA"/>
    <w:rsid w:val="003F7299"/>
    <w:rsid w:val="00400712"/>
    <w:rsid w:val="00400DFB"/>
    <w:rsid w:val="00401DD5"/>
    <w:rsid w:val="00401EB8"/>
    <w:rsid w:val="00401FD6"/>
    <w:rsid w:val="004026B8"/>
    <w:rsid w:val="00403969"/>
    <w:rsid w:val="004113C4"/>
    <w:rsid w:val="004117A8"/>
    <w:rsid w:val="00411AEB"/>
    <w:rsid w:val="0041228E"/>
    <w:rsid w:val="00413642"/>
    <w:rsid w:val="004153FB"/>
    <w:rsid w:val="0041687F"/>
    <w:rsid w:val="004178C8"/>
    <w:rsid w:val="00417FB6"/>
    <w:rsid w:val="00421EF3"/>
    <w:rsid w:val="00422A3B"/>
    <w:rsid w:val="00422D5B"/>
    <w:rsid w:val="00423B3B"/>
    <w:rsid w:val="00424049"/>
    <w:rsid w:val="004244E2"/>
    <w:rsid w:val="004255C5"/>
    <w:rsid w:val="00425690"/>
    <w:rsid w:val="004258AF"/>
    <w:rsid w:val="0042668B"/>
    <w:rsid w:val="004266B0"/>
    <w:rsid w:val="00430711"/>
    <w:rsid w:val="00430BAD"/>
    <w:rsid w:val="0043160C"/>
    <w:rsid w:val="00431F3A"/>
    <w:rsid w:val="00432985"/>
    <w:rsid w:val="00432CE7"/>
    <w:rsid w:val="00433C80"/>
    <w:rsid w:val="00433CDA"/>
    <w:rsid w:val="00435508"/>
    <w:rsid w:val="00435F8D"/>
    <w:rsid w:val="00435FF2"/>
    <w:rsid w:val="004369C5"/>
    <w:rsid w:val="00436AB2"/>
    <w:rsid w:val="00441AB1"/>
    <w:rsid w:val="00442C36"/>
    <w:rsid w:val="00443266"/>
    <w:rsid w:val="00446F57"/>
    <w:rsid w:val="0044712A"/>
    <w:rsid w:val="0045017E"/>
    <w:rsid w:val="0045198D"/>
    <w:rsid w:val="004536CA"/>
    <w:rsid w:val="00453765"/>
    <w:rsid w:val="00453958"/>
    <w:rsid w:val="00453D9F"/>
    <w:rsid w:val="00456F02"/>
    <w:rsid w:val="004571E2"/>
    <w:rsid w:val="00462E31"/>
    <w:rsid w:val="004638A7"/>
    <w:rsid w:val="0046542F"/>
    <w:rsid w:val="004660CC"/>
    <w:rsid w:val="00466A0C"/>
    <w:rsid w:val="00467055"/>
    <w:rsid w:val="00467ABB"/>
    <w:rsid w:val="004701CC"/>
    <w:rsid w:val="00470523"/>
    <w:rsid w:val="004707BE"/>
    <w:rsid w:val="00470D51"/>
    <w:rsid w:val="00470E36"/>
    <w:rsid w:val="00471480"/>
    <w:rsid w:val="0047253D"/>
    <w:rsid w:val="00472F7C"/>
    <w:rsid w:val="0047344C"/>
    <w:rsid w:val="00473A5C"/>
    <w:rsid w:val="004743D5"/>
    <w:rsid w:val="0047461F"/>
    <w:rsid w:val="00476296"/>
    <w:rsid w:val="00476678"/>
    <w:rsid w:val="00476B46"/>
    <w:rsid w:val="004778CA"/>
    <w:rsid w:val="004805AE"/>
    <w:rsid w:val="004807B4"/>
    <w:rsid w:val="00480875"/>
    <w:rsid w:val="00480ADD"/>
    <w:rsid w:val="00481189"/>
    <w:rsid w:val="0048384D"/>
    <w:rsid w:val="00483CB0"/>
    <w:rsid w:val="00484BC8"/>
    <w:rsid w:val="00485013"/>
    <w:rsid w:val="00487546"/>
    <w:rsid w:val="00490A42"/>
    <w:rsid w:val="00491E2C"/>
    <w:rsid w:val="00492456"/>
    <w:rsid w:val="00492467"/>
    <w:rsid w:val="00493D66"/>
    <w:rsid w:val="004978E5"/>
    <w:rsid w:val="004A40F5"/>
    <w:rsid w:val="004A4B98"/>
    <w:rsid w:val="004A592B"/>
    <w:rsid w:val="004A5AB3"/>
    <w:rsid w:val="004A60D0"/>
    <w:rsid w:val="004A7571"/>
    <w:rsid w:val="004A7E7A"/>
    <w:rsid w:val="004B05E8"/>
    <w:rsid w:val="004B2D5E"/>
    <w:rsid w:val="004B3104"/>
    <w:rsid w:val="004B3722"/>
    <w:rsid w:val="004B3885"/>
    <w:rsid w:val="004B4E2E"/>
    <w:rsid w:val="004B5CC1"/>
    <w:rsid w:val="004B63B1"/>
    <w:rsid w:val="004B6505"/>
    <w:rsid w:val="004C09DF"/>
    <w:rsid w:val="004C2005"/>
    <w:rsid w:val="004C2D71"/>
    <w:rsid w:val="004C3FD7"/>
    <w:rsid w:val="004C43F6"/>
    <w:rsid w:val="004C6BA3"/>
    <w:rsid w:val="004D0ED1"/>
    <w:rsid w:val="004D1106"/>
    <w:rsid w:val="004D1516"/>
    <w:rsid w:val="004D1991"/>
    <w:rsid w:val="004D21ED"/>
    <w:rsid w:val="004D65CA"/>
    <w:rsid w:val="004D67DD"/>
    <w:rsid w:val="004D6DFC"/>
    <w:rsid w:val="004D6EA5"/>
    <w:rsid w:val="004D7A3B"/>
    <w:rsid w:val="004E1296"/>
    <w:rsid w:val="004E13B8"/>
    <w:rsid w:val="004E1C5E"/>
    <w:rsid w:val="004E1FB0"/>
    <w:rsid w:val="004E3479"/>
    <w:rsid w:val="004E475A"/>
    <w:rsid w:val="004E5279"/>
    <w:rsid w:val="004E5B2C"/>
    <w:rsid w:val="004E790D"/>
    <w:rsid w:val="004E7965"/>
    <w:rsid w:val="004F028D"/>
    <w:rsid w:val="004F0840"/>
    <w:rsid w:val="004F0C45"/>
    <w:rsid w:val="004F22A2"/>
    <w:rsid w:val="004F285E"/>
    <w:rsid w:val="004F39BA"/>
    <w:rsid w:val="004F3B5D"/>
    <w:rsid w:val="004F3BDA"/>
    <w:rsid w:val="004F5029"/>
    <w:rsid w:val="004F519D"/>
    <w:rsid w:val="004F6CFF"/>
    <w:rsid w:val="005011E3"/>
    <w:rsid w:val="00501C19"/>
    <w:rsid w:val="0050253D"/>
    <w:rsid w:val="00502637"/>
    <w:rsid w:val="0050418C"/>
    <w:rsid w:val="0050438F"/>
    <w:rsid w:val="00504419"/>
    <w:rsid w:val="00504F76"/>
    <w:rsid w:val="00505721"/>
    <w:rsid w:val="00505C90"/>
    <w:rsid w:val="00506AE0"/>
    <w:rsid w:val="00507751"/>
    <w:rsid w:val="00510950"/>
    <w:rsid w:val="005115AD"/>
    <w:rsid w:val="00511CCF"/>
    <w:rsid w:val="00512D0D"/>
    <w:rsid w:val="00512DBC"/>
    <w:rsid w:val="00513E30"/>
    <w:rsid w:val="005141A0"/>
    <w:rsid w:val="00514F1D"/>
    <w:rsid w:val="005153AF"/>
    <w:rsid w:val="00516D6D"/>
    <w:rsid w:val="00516DC3"/>
    <w:rsid w:val="00517144"/>
    <w:rsid w:val="005179BA"/>
    <w:rsid w:val="00517BA0"/>
    <w:rsid w:val="00517D08"/>
    <w:rsid w:val="00520C3F"/>
    <w:rsid w:val="00521085"/>
    <w:rsid w:val="00521354"/>
    <w:rsid w:val="005215F7"/>
    <w:rsid w:val="00522A3D"/>
    <w:rsid w:val="00523CDA"/>
    <w:rsid w:val="005275E0"/>
    <w:rsid w:val="00530CCC"/>
    <w:rsid w:val="005316ED"/>
    <w:rsid w:val="0053212A"/>
    <w:rsid w:val="0053232A"/>
    <w:rsid w:val="005323BE"/>
    <w:rsid w:val="00534359"/>
    <w:rsid w:val="00535747"/>
    <w:rsid w:val="0053629F"/>
    <w:rsid w:val="00536388"/>
    <w:rsid w:val="00536E94"/>
    <w:rsid w:val="00540ECA"/>
    <w:rsid w:val="00541303"/>
    <w:rsid w:val="0054264F"/>
    <w:rsid w:val="00542962"/>
    <w:rsid w:val="0054351D"/>
    <w:rsid w:val="00543E59"/>
    <w:rsid w:val="005447BC"/>
    <w:rsid w:val="00545781"/>
    <w:rsid w:val="00547151"/>
    <w:rsid w:val="00547622"/>
    <w:rsid w:val="00550088"/>
    <w:rsid w:val="0055024E"/>
    <w:rsid w:val="005506EF"/>
    <w:rsid w:val="00550DF7"/>
    <w:rsid w:val="00551FC2"/>
    <w:rsid w:val="00553757"/>
    <w:rsid w:val="00554888"/>
    <w:rsid w:val="005562FE"/>
    <w:rsid w:val="005576AE"/>
    <w:rsid w:val="005616E2"/>
    <w:rsid w:val="00561D18"/>
    <w:rsid w:val="00563175"/>
    <w:rsid w:val="0056393A"/>
    <w:rsid w:val="005644A0"/>
    <w:rsid w:val="0056458E"/>
    <w:rsid w:val="00564D37"/>
    <w:rsid w:val="00564F24"/>
    <w:rsid w:val="00565D60"/>
    <w:rsid w:val="005660B5"/>
    <w:rsid w:val="005661D3"/>
    <w:rsid w:val="00566594"/>
    <w:rsid w:val="0056716A"/>
    <w:rsid w:val="00570178"/>
    <w:rsid w:val="0057048F"/>
    <w:rsid w:val="00570791"/>
    <w:rsid w:val="00570830"/>
    <w:rsid w:val="00570C4F"/>
    <w:rsid w:val="00571257"/>
    <w:rsid w:val="00571FBC"/>
    <w:rsid w:val="00573277"/>
    <w:rsid w:val="005732FB"/>
    <w:rsid w:val="00573DFF"/>
    <w:rsid w:val="00574261"/>
    <w:rsid w:val="005746E7"/>
    <w:rsid w:val="00574739"/>
    <w:rsid w:val="0057511D"/>
    <w:rsid w:val="00576D84"/>
    <w:rsid w:val="0057708C"/>
    <w:rsid w:val="005776D6"/>
    <w:rsid w:val="00577D77"/>
    <w:rsid w:val="005804BE"/>
    <w:rsid w:val="0058051E"/>
    <w:rsid w:val="00580648"/>
    <w:rsid w:val="00580F4C"/>
    <w:rsid w:val="00581C62"/>
    <w:rsid w:val="00582C6C"/>
    <w:rsid w:val="00582FBF"/>
    <w:rsid w:val="0058415E"/>
    <w:rsid w:val="0058498D"/>
    <w:rsid w:val="00585CE0"/>
    <w:rsid w:val="0058601C"/>
    <w:rsid w:val="00586C1F"/>
    <w:rsid w:val="0058726B"/>
    <w:rsid w:val="00587FD5"/>
    <w:rsid w:val="005905CC"/>
    <w:rsid w:val="0059153F"/>
    <w:rsid w:val="00591922"/>
    <w:rsid w:val="00591937"/>
    <w:rsid w:val="00591A05"/>
    <w:rsid w:val="00591CF7"/>
    <w:rsid w:val="00591D2A"/>
    <w:rsid w:val="00592344"/>
    <w:rsid w:val="00594C60"/>
    <w:rsid w:val="00594C9A"/>
    <w:rsid w:val="00594E1E"/>
    <w:rsid w:val="005956BF"/>
    <w:rsid w:val="00597BE3"/>
    <w:rsid w:val="005A0221"/>
    <w:rsid w:val="005A0D94"/>
    <w:rsid w:val="005A1A73"/>
    <w:rsid w:val="005A34D6"/>
    <w:rsid w:val="005A3830"/>
    <w:rsid w:val="005A38C2"/>
    <w:rsid w:val="005A5B7B"/>
    <w:rsid w:val="005A64F3"/>
    <w:rsid w:val="005A69FE"/>
    <w:rsid w:val="005A6F77"/>
    <w:rsid w:val="005B0470"/>
    <w:rsid w:val="005B09BE"/>
    <w:rsid w:val="005B0E7C"/>
    <w:rsid w:val="005B1795"/>
    <w:rsid w:val="005B28B8"/>
    <w:rsid w:val="005B411D"/>
    <w:rsid w:val="005B4B35"/>
    <w:rsid w:val="005B4DB0"/>
    <w:rsid w:val="005B5984"/>
    <w:rsid w:val="005B6474"/>
    <w:rsid w:val="005B6F05"/>
    <w:rsid w:val="005B7C34"/>
    <w:rsid w:val="005B7D56"/>
    <w:rsid w:val="005B7E2E"/>
    <w:rsid w:val="005C0828"/>
    <w:rsid w:val="005C1EF5"/>
    <w:rsid w:val="005C2702"/>
    <w:rsid w:val="005C2FD4"/>
    <w:rsid w:val="005C41CD"/>
    <w:rsid w:val="005C6E4D"/>
    <w:rsid w:val="005C774F"/>
    <w:rsid w:val="005D0DB7"/>
    <w:rsid w:val="005D129A"/>
    <w:rsid w:val="005D1F6F"/>
    <w:rsid w:val="005D2A56"/>
    <w:rsid w:val="005D2E50"/>
    <w:rsid w:val="005D38F3"/>
    <w:rsid w:val="005D4390"/>
    <w:rsid w:val="005D58A8"/>
    <w:rsid w:val="005D5EEB"/>
    <w:rsid w:val="005D63B0"/>
    <w:rsid w:val="005D6F6A"/>
    <w:rsid w:val="005D7BA3"/>
    <w:rsid w:val="005E0130"/>
    <w:rsid w:val="005E0C8A"/>
    <w:rsid w:val="005E0FF5"/>
    <w:rsid w:val="005E15E2"/>
    <w:rsid w:val="005E1D9E"/>
    <w:rsid w:val="005E1F6E"/>
    <w:rsid w:val="005E1FEE"/>
    <w:rsid w:val="005E2773"/>
    <w:rsid w:val="005E27A0"/>
    <w:rsid w:val="005E38AD"/>
    <w:rsid w:val="005E398C"/>
    <w:rsid w:val="005E3EAB"/>
    <w:rsid w:val="005E42D3"/>
    <w:rsid w:val="005E506A"/>
    <w:rsid w:val="005E543A"/>
    <w:rsid w:val="005E552D"/>
    <w:rsid w:val="005E7FE8"/>
    <w:rsid w:val="005F0C84"/>
    <w:rsid w:val="005F11BE"/>
    <w:rsid w:val="005F2C39"/>
    <w:rsid w:val="005F2F41"/>
    <w:rsid w:val="005F427C"/>
    <w:rsid w:val="005F558D"/>
    <w:rsid w:val="005F5A91"/>
    <w:rsid w:val="005F5C71"/>
    <w:rsid w:val="005F5FA5"/>
    <w:rsid w:val="00601F60"/>
    <w:rsid w:val="00602AB5"/>
    <w:rsid w:val="006034BA"/>
    <w:rsid w:val="0060482B"/>
    <w:rsid w:val="00604967"/>
    <w:rsid w:val="00604A93"/>
    <w:rsid w:val="00605BEC"/>
    <w:rsid w:val="00606675"/>
    <w:rsid w:val="006066B2"/>
    <w:rsid w:val="00612EA4"/>
    <w:rsid w:val="006142E8"/>
    <w:rsid w:val="0061504F"/>
    <w:rsid w:val="00615D7A"/>
    <w:rsid w:val="00616162"/>
    <w:rsid w:val="0061745D"/>
    <w:rsid w:val="0062083C"/>
    <w:rsid w:val="00621486"/>
    <w:rsid w:val="00622307"/>
    <w:rsid w:val="00624383"/>
    <w:rsid w:val="00624C53"/>
    <w:rsid w:val="00624F70"/>
    <w:rsid w:val="00626129"/>
    <w:rsid w:val="00627345"/>
    <w:rsid w:val="0062784E"/>
    <w:rsid w:val="00630AD7"/>
    <w:rsid w:val="00631ABB"/>
    <w:rsid w:val="006327DB"/>
    <w:rsid w:val="00632DE7"/>
    <w:rsid w:val="00633791"/>
    <w:rsid w:val="00634E9B"/>
    <w:rsid w:val="00636B06"/>
    <w:rsid w:val="00640887"/>
    <w:rsid w:val="0064090A"/>
    <w:rsid w:val="00641314"/>
    <w:rsid w:val="006424E9"/>
    <w:rsid w:val="00642BEE"/>
    <w:rsid w:val="006438DC"/>
    <w:rsid w:val="006450CC"/>
    <w:rsid w:val="00646EB6"/>
    <w:rsid w:val="00647DF6"/>
    <w:rsid w:val="00651806"/>
    <w:rsid w:val="006523F8"/>
    <w:rsid w:val="006526F7"/>
    <w:rsid w:val="0065458A"/>
    <w:rsid w:val="006546D1"/>
    <w:rsid w:val="00656637"/>
    <w:rsid w:val="006570C6"/>
    <w:rsid w:val="006574E3"/>
    <w:rsid w:val="0065780B"/>
    <w:rsid w:val="00657B44"/>
    <w:rsid w:val="00660CAE"/>
    <w:rsid w:val="0066115B"/>
    <w:rsid w:val="00661BBC"/>
    <w:rsid w:val="00664696"/>
    <w:rsid w:val="00664A95"/>
    <w:rsid w:val="00664DA7"/>
    <w:rsid w:val="00664FD7"/>
    <w:rsid w:val="00665046"/>
    <w:rsid w:val="00665893"/>
    <w:rsid w:val="0066606D"/>
    <w:rsid w:val="006670CB"/>
    <w:rsid w:val="0066784B"/>
    <w:rsid w:val="006700A5"/>
    <w:rsid w:val="0067248A"/>
    <w:rsid w:val="006742ED"/>
    <w:rsid w:val="0067560D"/>
    <w:rsid w:val="0067682D"/>
    <w:rsid w:val="006768B1"/>
    <w:rsid w:val="00676C3F"/>
    <w:rsid w:val="00677037"/>
    <w:rsid w:val="006775B5"/>
    <w:rsid w:val="00677B0E"/>
    <w:rsid w:val="006806AC"/>
    <w:rsid w:val="006814A6"/>
    <w:rsid w:val="0068217A"/>
    <w:rsid w:val="00682604"/>
    <w:rsid w:val="0068624B"/>
    <w:rsid w:val="006900F6"/>
    <w:rsid w:val="006903C5"/>
    <w:rsid w:val="00691426"/>
    <w:rsid w:val="006921CA"/>
    <w:rsid w:val="006935BA"/>
    <w:rsid w:val="00693B48"/>
    <w:rsid w:val="00693EBF"/>
    <w:rsid w:val="00694D84"/>
    <w:rsid w:val="00695B64"/>
    <w:rsid w:val="00695C7C"/>
    <w:rsid w:val="00696A5A"/>
    <w:rsid w:val="0069766E"/>
    <w:rsid w:val="00697F49"/>
    <w:rsid w:val="006A0B48"/>
    <w:rsid w:val="006A0B8F"/>
    <w:rsid w:val="006A1696"/>
    <w:rsid w:val="006A1C69"/>
    <w:rsid w:val="006A4608"/>
    <w:rsid w:val="006A4F4C"/>
    <w:rsid w:val="006A5114"/>
    <w:rsid w:val="006A5BD2"/>
    <w:rsid w:val="006A6348"/>
    <w:rsid w:val="006A67DB"/>
    <w:rsid w:val="006A73B0"/>
    <w:rsid w:val="006A7C67"/>
    <w:rsid w:val="006B0156"/>
    <w:rsid w:val="006B0546"/>
    <w:rsid w:val="006B099E"/>
    <w:rsid w:val="006B0F73"/>
    <w:rsid w:val="006B1956"/>
    <w:rsid w:val="006B2918"/>
    <w:rsid w:val="006B3484"/>
    <w:rsid w:val="006B3AE2"/>
    <w:rsid w:val="006B472D"/>
    <w:rsid w:val="006B54BE"/>
    <w:rsid w:val="006B5E15"/>
    <w:rsid w:val="006B6666"/>
    <w:rsid w:val="006B6866"/>
    <w:rsid w:val="006B688F"/>
    <w:rsid w:val="006B6A49"/>
    <w:rsid w:val="006B7D2D"/>
    <w:rsid w:val="006C11DE"/>
    <w:rsid w:val="006C23B3"/>
    <w:rsid w:val="006C2455"/>
    <w:rsid w:val="006C2EA8"/>
    <w:rsid w:val="006C2F61"/>
    <w:rsid w:val="006C4088"/>
    <w:rsid w:val="006C4B23"/>
    <w:rsid w:val="006C732A"/>
    <w:rsid w:val="006D00C2"/>
    <w:rsid w:val="006D11D5"/>
    <w:rsid w:val="006D2F69"/>
    <w:rsid w:val="006D3E1A"/>
    <w:rsid w:val="006D4015"/>
    <w:rsid w:val="006D4E5A"/>
    <w:rsid w:val="006D63F9"/>
    <w:rsid w:val="006D7090"/>
    <w:rsid w:val="006D72DB"/>
    <w:rsid w:val="006D7340"/>
    <w:rsid w:val="006E536C"/>
    <w:rsid w:val="006E5D9D"/>
    <w:rsid w:val="006E7847"/>
    <w:rsid w:val="006F06F0"/>
    <w:rsid w:val="006F2BEA"/>
    <w:rsid w:val="006F2F79"/>
    <w:rsid w:val="006F35F2"/>
    <w:rsid w:val="006F43E0"/>
    <w:rsid w:val="006F4C30"/>
    <w:rsid w:val="006F5984"/>
    <w:rsid w:val="006F5C69"/>
    <w:rsid w:val="006F6308"/>
    <w:rsid w:val="006F6355"/>
    <w:rsid w:val="006F78C1"/>
    <w:rsid w:val="006F79C2"/>
    <w:rsid w:val="007003A2"/>
    <w:rsid w:val="007008D4"/>
    <w:rsid w:val="00700DE6"/>
    <w:rsid w:val="00702BD5"/>
    <w:rsid w:val="00704BCC"/>
    <w:rsid w:val="007059B8"/>
    <w:rsid w:val="00705FC4"/>
    <w:rsid w:val="00710142"/>
    <w:rsid w:val="007116B5"/>
    <w:rsid w:val="007124F6"/>
    <w:rsid w:val="00712C7A"/>
    <w:rsid w:val="00713B1B"/>
    <w:rsid w:val="00714B60"/>
    <w:rsid w:val="00715AA9"/>
    <w:rsid w:val="00717F5B"/>
    <w:rsid w:val="00721A23"/>
    <w:rsid w:val="0072394A"/>
    <w:rsid w:val="0072398E"/>
    <w:rsid w:val="00727490"/>
    <w:rsid w:val="0073088B"/>
    <w:rsid w:val="00731C88"/>
    <w:rsid w:val="00731DF7"/>
    <w:rsid w:val="00731F4E"/>
    <w:rsid w:val="00732F0E"/>
    <w:rsid w:val="00733A20"/>
    <w:rsid w:val="00734483"/>
    <w:rsid w:val="0073451F"/>
    <w:rsid w:val="00735416"/>
    <w:rsid w:val="00735B1D"/>
    <w:rsid w:val="0073659F"/>
    <w:rsid w:val="00736977"/>
    <w:rsid w:val="00737C4C"/>
    <w:rsid w:val="0074169C"/>
    <w:rsid w:val="00742013"/>
    <w:rsid w:val="007425B2"/>
    <w:rsid w:val="00742B50"/>
    <w:rsid w:val="00743204"/>
    <w:rsid w:val="0074336F"/>
    <w:rsid w:val="00743B3B"/>
    <w:rsid w:val="00744D3D"/>
    <w:rsid w:val="00744E1D"/>
    <w:rsid w:val="00745700"/>
    <w:rsid w:val="007465ED"/>
    <w:rsid w:val="007471E9"/>
    <w:rsid w:val="00747A55"/>
    <w:rsid w:val="0075076A"/>
    <w:rsid w:val="0075092A"/>
    <w:rsid w:val="0075142B"/>
    <w:rsid w:val="00751AFE"/>
    <w:rsid w:val="00751FAC"/>
    <w:rsid w:val="00752309"/>
    <w:rsid w:val="00752A4D"/>
    <w:rsid w:val="0075480F"/>
    <w:rsid w:val="00755CDE"/>
    <w:rsid w:val="0075613B"/>
    <w:rsid w:val="00757E9F"/>
    <w:rsid w:val="00762A28"/>
    <w:rsid w:val="0076327F"/>
    <w:rsid w:val="00763326"/>
    <w:rsid w:val="00763DBF"/>
    <w:rsid w:val="00763F05"/>
    <w:rsid w:val="00764717"/>
    <w:rsid w:val="0076552F"/>
    <w:rsid w:val="00765ACC"/>
    <w:rsid w:val="00766113"/>
    <w:rsid w:val="00766876"/>
    <w:rsid w:val="00767900"/>
    <w:rsid w:val="0076798D"/>
    <w:rsid w:val="007708C0"/>
    <w:rsid w:val="00770FF6"/>
    <w:rsid w:val="00771135"/>
    <w:rsid w:val="007719E3"/>
    <w:rsid w:val="00771C88"/>
    <w:rsid w:val="00773DFA"/>
    <w:rsid w:val="00774D17"/>
    <w:rsid w:val="007753F4"/>
    <w:rsid w:val="0077672F"/>
    <w:rsid w:val="007775C8"/>
    <w:rsid w:val="0077769B"/>
    <w:rsid w:val="0078126A"/>
    <w:rsid w:val="00781D26"/>
    <w:rsid w:val="00784548"/>
    <w:rsid w:val="007863B0"/>
    <w:rsid w:val="0078690F"/>
    <w:rsid w:val="007873E6"/>
    <w:rsid w:val="00787854"/>
    <w:rsid w:val="0079171C"/>
    <w:rsid w:val="0079320B"/>
    <w:rsid w:val="007935E5"/>
    <w:rsid w:val="007937C7"/>
    <w:rsid w:val="00793D73"/>
    <w:rsid w:val="00794C28"/>
    <w:rsid w:val="007A0783"/>
    <w:rsid w:val="007A2157"/>
    <w:rsid w:val="007A2AC0"/>
    <w:rsid w:val="007A3456"/>
    <w:rsid w:val="007A3543"/>
    <w:rsid w:val="007A3B20"/>
    <w:rsid w:val="007A48A2"/>
    <w:rsid w:val="007A5CD3"/>
    <w:rsid w:val="007A65E7"/>
    <w:rsid w:val="007A7783"/>
    <w:rsid w:val="007A7C5B"/>
    <w:rsid w:val="007B1B7E"/>
    <w:rsid w:val="007B22BD"/>
    <w:rsid w:val="007B2FF3"/>
    <w:rsid w:val="007B3217"/>
    <w:rsid w:val="007B3426"/>
    <w:rsid w:val="007B3C0E"/>
    <w:rsid w:val="007B4230"/>
    <w:rsid w:val="007B54AD"/>
    <w:rsid w:val="007B596F"/>
    <w:rsid w:val="007B7FE7"/>
    <w:rsid w:val="007C0239"/>
    <w:rsid w:val="007C02FD"/>
    <w:rsid w:val="007C19FC"/>
    <w:rsid w:val="007C1ACE"/>
    <w:rsid w:val="007C206D"/>
    <w:rsid w:val="007C2AE8"/>
    <w:rsid w:val="007C43CA"/>
    <w:rsid w:val="007C4D5E"/>
    <w:rsid w:val="007C52CE"/>
    <w:rsid w:val="007C649A"/>
    <w:rsid w:val="007C6F87"/>
    <w:rsid w:val="007C6FF9"/>
    <w:rsid w:val="007C7DBC"/>
    <w:rsid w:val="007D10DF"/>
    <w:rsid w:val="007D1568"/>
    <w:rsid w:val="007D2813"/>
    <w:rsid w:val="007D4AD6"/>
    <w:rsid w:val="007D58E4"/>
    <w:rsid w:val="007D5DEB"/>
    <w:rsid w:val="007D643B"/>
    <w:rsid w:val="007D7AB8"/>
    <w:rsid w:val="007E0140"/>
    <w:rsid w:val="007E06C1"/>
    <w:rsid w:val="007E0CC2"/>
    <w:rsid w:val="007E0DBD"/>
    <w:rsid w:val="007E1489"/>
    <w:rsid w:val="007E213A"/>
    <w:rsid w:val="007E2CA0"/>
    <w:rsid w:val="007E3116"/>
    <w:rsid w:val="007E6837"/>
    <w:rsid w:val="007E6C95"/>
    <w:rsid w:val="007F0090"/>
    <w:rsid w:val="007F065F"/>
    <w:rsid w:val="007F1830"/>
    <w:rsid w:val="007F3BBC"/>
    <w:rsid w:val="007F4744"/>
    <w:rsid w:val="00800B03"/>
    <w:rsid w:val="00800CFC"/>
    <w:rsid w:val="00800D68"/>
    <w:rsid w:val="008012AA"/>
    <w:rsid w:val="00801DAF"/>
    <w:rsid w:val="0080405F"/>
    <w:rsid w:val="008041C4"/>
    <w:rsid w:val="00804288"/>
    <w:rsid w:val="00804814"/>
    <w:rsid w:val="00804F1B"/>
    <w:rsid w:val="00805060"/>
    <w:rsid w:val="008054B7"/>
    <w:rsid w:val="008054FA"/>
    <w:rsid w:val="0081227E"/>
    <w:rsid w:val="00812521"/>
    <w:rsid w:val="00812AD4"/>
    <w:rsid w:val="00815315"/>
    <w:rsid w:val="00817A99"/>
    <w:rsid w:val="00821423"/>
    <w:rsid w:val="0082268A"/>
    <w:rsid w:val="00822A86"/>
    <w:rsid w:val="00822B3C"/>
    <w:rsid w:val="008236B6"/>
    <w:rsid w:val="00824DD7"/>
    <w:rsid w:val="00824EF7"/>
    <w:rsid w:val="00826705"/>
    <w:rsid w:val="008267A8"/>
    <w:rsid w:val="00826C80"/>
    <w:rsid w:val="00827EA2"/>
    <w:rsid w:val="008300AC"/>
    <w:rsid w:val="00831D2B"/>
    <w:rsid w:val="00831EC1"/>
    <w:rsid w:val="00833058"/>
    <w:rsid w:val="00833160"/>
    <w:rsid w:val="00833A01"/>
    <w:rsid w:val="00834381"/>
    <w:rsid w:val="00834914"/>
    <w:rsid w:val="00835041"/>
    <w:rsid w:val="00836A0E"/>
    <w:rsid w:val="00837E49"/>
    <w:rsid w:val="00842513"/>
    <w:rsid w:val="008448D3"/>
    <w:rsid w:val="008452E6"/>
    <w:rsid w:val="0084545F"/>
    <w:rsid w:val="008457F1"/>
    <w:rsid w:val="00845C48"/>
    <w:rsid w:val="008460E6"/>
    <w:rsid w:val="0085357B"/>
    <w:rsid w:val="00853E51"/>
    <w:rsid w:val="00855185"/>
    <w:rsid w:val="00855AC6"/>
    <w:rsid w:val="008571FF"/>
    <w:rsid w:val="00857365"/>
    <w:rsid w:val="00860B3A"/>
    <w:rsid w:val="008626A4"/>
    <w:rsid w:val="008632B3"/>
    <w:rsid w:val="00863988"/>
    <w:rsid w:val="00864222"/>
    <w:rsid w:val="00864DB9"/>
    <w:rsid w:val="00864FDF"/>
    <w:rsid w:val="008664D3"/>
    <w:rsid w:val="008677C5"/>
    <w:rsid w:val="008707AA"/>
    <w:rsid w:val="008711C1"/>
    <w:rsid w:val="00874493"/>
    <w:rsid w:val="0087453B"/>
    <w:rsid w:val="008745E6"/>
    <w:rsid w:val="00877340"/>
    <w:rsid w:val="00877751"/>
    <w:rsid w:val="0088004E"/>
    <w:rsid w:val="00881F0E"/>
    <w:rsid w:val="0088271F"/>
    <w:rsid w:val="00882A18"/>
    <w:rsid w:val="008844D2"/>
    <w:rsid w:val="00884542"/>
    <w:rsid w:val="008846AF"/>
    <w:rsid w:val="00884893"/>
    <w:rsid w:val="00884D75"/>
    <w:rsid w:val="00886127"/>
    <w:rsid w:val="008863DB"/>
    <w:rsid w:val="008878DF"/>
    <w:rsid w:val="00890000"/>
    <w:rsid w:val="00891225"/>
    <w:rsid w:val="00892344"/>
    <w:rsid w:val="00892BBE"/>
    <w:rsid w:val="0089398A"/>
    <w:rsid w:val="00894190"/>
    <w:rsid w:val="00896FD6"/>
    <w:rsid w:val="0089779B"/>
    <w:rsid w:val="008A10C3"/>
    <w:rsid w:val="008A16F0"/>
    <w:rsid w:val="008A28A8"/>
    <w:rsid w:val="008A40F4"/>
    <w:rsid w:val="008A4FA2"/>
    <w:rsid w:val="008A50C1"/>
    <w:rsid w:val="008B0E1A"/>
    <w:rsid w:val="008B12FB"/>
    <w:rsid w:val="008B1320"/>
    <w:rsid w:val="008B1A4D"/>
    <w:rsid w:val="008B20A3"/>
    <w:rsid w:val="008B21A3"/>
    <w:rsid w:val="008B2358"/>
    <w:rsid w:val="008B294C"/>
    <w:rsid w:val="008B2990"/>
    <w:rsid w:val="008B3477"/>
    <w:rsid w:val="008B34BB"/>
    <w:rsid w:val="008B56C6"/>
    <w:rsid w:val="008B614E"/>
    <w:rsid w:val="008B628D"/>
    <w:rsid w:val="008B63F8"/>
    <w:rsid w:val="008C14C7"/>
    <w:rsid w:val="008C1745"/>
    <w:rsid w:val="008C1E94"/>
    <w:rsid w:val="008C25C0"/>
    <w:rsid w:val="008C280E"/>
    <w:rsid w:val="008C3411"/>
    <w:rsid w:val="008C554F"/>
    <w:rsid w:val="008C5659"/>
    <w:rsid w:val="008C5DD2"/>
    <w:rsid w:val="008D0C69"/>
    <w:rsid w:val="008D1B8F"/>
    <w:rsid w:val="008D3A22"/>
    <w:rsid w:val="008D3F1E"/>
    <w:rsid w:val="008D4890"/>
    <w:rsid w:val="008D6558"/>
    <w:rsid w:val="008E0023"/>
    <w:rsid w:val="008E0A70"/>
    <w:rsid w:val="008E0FE0"/>
    <w:rsid w:val="008E1B1D"/>
    <w:rsid w:val="008E386F"/>
    <w:rsid w:val="008E423B"/>
    <w:rsid w:val="008E5B88"/>
    <w:rsid w:val="008E698C"/>
    <w:rsid w:val="008E6D2A"/>
    <w:rsid w:val="008E6EC9"/>
    <w:rsid w:val="008E7994"/>
    <w:rsid w:val="008E7FC7"/>
    <w:rsid w:val="008F01F8"/>
    <w:rsid w:val="008F1F12"/>
    <w:rsid w:val="008F3258"/>
    <w:rsid w:val="008F3410"/>
    <w:rsid w:val="008F3BC3"/>
    <w:rsid w:val="008F49AE"/>
    <w:rsid w:val="008F4DB1"/>
    <w:rsid w:val="008F4DFF"/>
    <w:rsid w:val="008F6053"/>
    <w:rsid w:val="008F6F1E"/>
    <w:rsid w:val="008F764A"/>
    <w:rsid w:val="008F7931"/>
    <w:rsid w:val="00900A70"/>
    <w:rsid w:val="009040A2"/>
    <w:rsid w:val="00904607"/>
    <w:rsid w:val="00910067"/>
    <w:rsid w:val="00910E4A"/>
    <w:rsid w:val="0091140E"/>
    <w:rsid w:val="009115E4"/>
    <w:rsid w:val="0091257C"/>
    <w:rsid w:val="00912B43"/>
    <w:rsid w:val="00913BF8"/>
    <w:rsid w:val="00915FBC"/>
    <w:rsid w:val="00916751"/>
    <w:rsid w:val="00916D06"/>
    <w:rsid w:val="00920DC5"/>
    <w:rsid w:val="00921143"/>
    <w:rsid w:val="00921457"/>
    <w:rsid w:val="009231D4"/>
    <w:rsid w:val="00924072"/>
    <w:rsid w:val="00924A2D"/>
    <w:rsid w:val="00925836"/>
    <w:rsid w:val="00925B6E"/>
    <w:rsid w:val="00926451"/>
    <w:rsid w:val="00927D58"/>
    <w:rsid w:val="0093000A"/>
    <w:rsid w:val="00930878"/>
    <w:rsid w:val="00930963"/>
    <w:rsid w:val="00931274"/>
    <w:rsid w:val="00931CA4"/>
    <w:rsid w:val="0093214A"/>
    <w:rsid w:val="00932205"/>
    <w:rsid w:val="00934277"/>
    <w:rsid w:val="009347A9"/>
    <w:rsid w:val="009351F2"/>
    <w:rsid w:val="009353A4"/>
    <w:rsid w:val="0093604F"/>
    <w:rsid w:val="00936056"/>
    <w:rsid w:val="00936745"/>
    <w:rsid w:val="00940693"/>
    <w:rsid w:val="00942905"/>
    <w:rsid w:val="009430E1"/>
    <w:rsid w:val="0094319A"/>
    <w:rsid w:val="00945228"/>
    <w:rsid w:val="00945440"/>
    <w:rsid w:val="00947015"/>
    <w:rsid w:val="009471D9"/>
    <w:rsid w:val="00950143"/>
    <w:rsid w:val="0095141A"/>
    <w:rsid w:val="009515C6"/>
    <w:rsid w:val="009515C8"/>
    <w:rsid w:val="00952781"/>
    <w:rsid w:val="00952E60"/>
    <w:rsid w:val="0095410E"/>
    <w:rsid w:val="009546C9"/>
    <w:rsid w:val="00954DD2"/>
    <w:rsid w:val="00955B29"/>
    <w:rsid w:val="00957E22"/>
    <w:rsid w:val="0096048D"/>
    <w:rsid w:val="009606D4"/>
    <w:rsid w:val="00961307"/>
    <w:rsid w:val="0096192D"/>
    <w:rsid w:val="00961D7C"/>
    <w:rsid w:val="00962F4D"/>
    <w:rsid w:val="00963BB5"/>
    <w:rsid w:val="00965469"/>
    <w:rsid w:val="00965C3F"/>
    <w:rsid w:val="00965FF1"/>
    <w:rsid w:val="00967160"/>
    <w:rsid w:val="009700E3"/>
    <w:rsid w:val="00972B63"/>
    <w:rsid w:val="00973FDD"/>
    <w:rsid w:val="00974453"/>
    <w:rsid w:val="00974766"/>
    <w:rsid w:val="00975AEB"/>
    <w:rsid w:val="009761C1"/>
    <w:rsid w:val="009763D8"/>
    <w:rsid w:val="00976725"/>
    <w:rsid w:val="00977857"/>
    <w:rsid w:val="00981E2D"/>
    <w:rsid w:val="00982C84"/>
    <w:rsid w:val="009841EC"/>
    <w:rsid w:val="009850F4"/>
    <w:rsid w:val="00986AB1"/>
    <w:rsid w:val="00990603"/>
    <w:rsid w:val="0099361E"/>
    <w:rsid w:val="0099396A"/>
    <w:rsid w:val="00995F72"/>
    <w:rsid w:val="009965C8"/>
    <w:rsid w:val="009968F9"/>
    <w:rsid w:val="009974CF"/>
    <w:rsid w:val="009A2B4F"/>
    <w:rsid w:val="009A2F02"/>
    <w:rsid w:val="009A3312"/>
    <w:rsid w:val="009A3472"/>
    <w:rsid w:val="009A4B20"/>
    <w:rsid w:val="009A555E"/>
    <w:rsid w:val="009A6261"/>
    <w:rsid w:val="009A6C0A"/>
    <w:rsid w:val="009A6D65"/>
    <w:rsid w:val="009A7A7D"/>
    <w:rsid w:val="009A7EB7"/>
    <w:rsid w:val="009B097F"/>
    <w:rsid w:val="009B09E6"/>
    <w:rsid w:val="009B12AA"/>
    <w:rsid w:val="009B2E1F"/>
    <w:rsid w:val="009B2FF3"/>
    <w:rsid w:val="009B4802"/>
    <w:rsid w:val="009B53A4"/>
    <w:rsid w:val="009B596E"/>
    <w:rsid w:val="009B73A4"/>
    <w:rsid w:val="009B7A30"/>
    <w:rsid w:val="009C0812"/>
    <w:rsid w:val="009C0A60"/>
    <w:rsid w:val="009C136E"/>
    <w:rsid w:val="009C24A9"/>
    <w:rsid w:val="009C28B8"/>
    <w:rsid w:val="009C2FB7"/>
    <w:rsid w:val="009C34EA"/>
    <w:rsid w:val="009C3699"/>
    <w:rsid w:val="009C5838"/>
    <w:rsid w:val="009C5E56"/>
    <w:rsid w:val="009C5E8E"/>
    <w:rsid w:val="009C7AF8"/>
    <w:rsid w:val="009C7B1A"/>
    <w:rsid w:val="009D01E9"/>
    <w:rsid w:val="009D03D8"/>
    <w:rsid w:val="009D0A66"/>
    <w:rsid w:val="009D0C94"/>
    <w:rsid w:val="009D10C9"/>
    <w:rsid w:val="009D1953"/>
    <w:rsid w:val="009D1D49"/>
    <w:rsid w:val="009D2477"/>
    <w:rsid w:val="009D2D68"/>
    <w:rsid w:val="009D2DAB"/>
    <w:rsid w:val="009D2FE5"/>
    <w:rsid w:val="009D4471"/>
    <w:rsid w:val="009D474D"/>
    <w:rsid w:val="009D52C4"/>
    <w:rsid w:val="009D5354"/>
    <w:rsid w:val="009D597F"/>
    <w:rsid w:val="009D649A"/>
    <w:rsid w:val="009E0965"/>
    <w:rsid w:val="009E14C0"/>
    <w:rsid w:val="009E1D3E"/>
    <w:rsid w:val="009E6851"/>
    <w:rsid w:val="009E723D"/>
    <w:rsid w:val="009E77B1"/>
    <w:rsid w:val="009E7E98"/>
    <w:rsid w:val="009E7F0E"/>
    <w:rsid w:val="009F2128"/>
    <w:rsid w:val="009F2969"/>
    <w:rsid w:val="009F30AC"/>
    <w:rsid w:val="009F3568"/>
    <w:rsid w:val="009F3C81"/>
    <w:rsid w:val="009F45FF"/>
    <w:rsid w:val="009F4C20"/>
    <w:rsid w:val="009F520D"/>
    <w:rsid w:val="009F59CF"/>
    <w:rsid w:val="009F65C2"/>
    <w:rsid w:val="009F7054"/>
    <w:rsid w:val="00A027AC"/>
    <w:rsid w:val="00A04258"/>
    <w:rsid w:val="00A04A5B"/>
    <w:rsid w:val="00A0568D"/>
    <w:rsid w:val="00A0690B"/>
    <w:rsid w:val="00A06BBD"/>
    <w:rsid w:val="00A073A9"/>
    <w:rsid w:val="00A07602"/>
    <w:rsid w:val="00A07C62"/>
    <w:rsid w:val="00A1000B"/>
    <w:rsid w:val="00A1075E"/>
    <w:rsid w:val="00A119E1"/>
    <w:rsid w:val="00A11A2C"/>
    <w:rsid w:val="00A12D8E"/>
    <w:rsid w:val="00A1391F"/>
    <w:rsid w:val="00A139B8"/>
    <w:rsid w:val="00A14A7B"/>
    <w:rsid w:val="00A154DA"/>
    <w:rsid w:val="00A15C35"/>
    <w:rsid w:val="00A175A2"/>
    <w:rsid w:val="00A17C85"/>
    <w:rsid w:val="00A17FBA"/>
    <w:rsid w:val="00A2161F"/>
    <w:rsid w:val="00A236EA"/>
    <w:rsid w:val="00A23DA8"/>
    <w:rsid w:val="00A24831"/>
    <w:rsid w:val="00A24A87"/>
    <w:rsid w:val="00A24AF2"/>
    <w:rsid w:val="00A24AF4"/>
    <w:rsid w:val="00A30C0B"/>
    <w:rsid w:val="00A31756"/>
    <w:rsid w:val="00A31D22"/>
    <w:rsid w:val="00A3259B"/>
    <w:rsid w:val="00A336B0"/>
    <w:rsid w:val="00A3384B"/>
    <w:rsid w:val="00A344B4"/>
    <w:rsid w:val="00A344CD"/>
    <w:rsid w:val="00A36DE2"/>
    <w:rsid w:val="00A36F8E"/>
    <w:rsid w:val="00A36FA1"/>
    <w:rsid w:val="00A405AD"/>
    <w:rsid w:val="00A41BBF"/>
    <w:rsid w:val="00A42B34"/>
    <w:rsid w:val="00A42E52"/>
    <w:rsid w:val="00A4306C"/>
    <w:rsid w:val="00A43611"/>
    <w:rsid w:val="00A451EC"/>
    <w:rsid w:val="00A466BE"/>
    <w:rsid w:val="00A46963"/>
    <w:rsid w:val="00A4713A"/>
    <w:rsid w:val="00A476A6"/>
    <w:rsid w:val="00A479C2"/>
    <w:rsid w:val="00A516BD"/>
    <w:rsid w:val="00A51BF7"/>
    <w:rsid w:val="00A52044"/>
    <w:rsid w:val="00A523CB"/>
    <w:rsid w:val="00A52920"/>
    <w:rsid w:val="00A531D0"/>
    <w:rsid w:val="00A53F22"/>
    <w:rsid w:val="00A55100"/>
    <w:rsid w:val="00A554A9"/>
    <w:rsid w:val="00A55ADE"/>
    <w:rsid w:val="00A55CBF"/>
    <w:rsid w:val="00A56CE8"/>
    <w:rsid w:val="00A5701D"/>
    <w:rsid w:val="00A577C9"/>
    <w:rsid w:val="00A578F0"/>
    <w:rsid w:val="00A57DE9"/>
    <w:rsid w:val="00A600D8"/>
    <w:rsid w:val="00A636D9"/>
    <w:rsid w:val="00A6383F"/>
    <w:rsid w:val="00A63AD6"/>
    <w:rsid w:val="00A643A0"/>
    <w:rsid w:val="00A64515"/>
    <w:rsid w:val="00A650F7"/>
    <w:rsid w:val="00A652EC"/>
    <w:rsid w:val="00A6592F"/>
    <w:rsid w:val="00A660E0"/>
    <w:rsid w:val="00A6665D"/>
    <w:rsid w:val="00A66A90"/>
    <w:rsid w:val="00A66B40"/>
    <w:rsid w:val="00A66C75"/>
    <w:rsid w:val="00A6796C"/>
    <w:rsid w:val="00A70142"/>
    <w:rsid w:val="00A71FEB"/>
    <w:rsid w:val="00A72B0B"/>
    <w:rsid w:val="00A72EAE"/>
    <w:rsid w:val="00A73718"/>
    <w:rsid w:val="00A73EF0"/>
    <w:rsid w:val="00A7439A"/>
    <w:rsid w:val="00A75A17"/>
    <w:rsid w:val="00A76508"/>
    <w:rsid w:val="00A77C8F"/>
    <w:rsid w:val="00A80AA6"/>
    <w:rsid w:val="00A81212"/>
    <w:rsid w:val="00A827AE"/>
    <w:rsid w:val="00A82A54"/>
    <w:rsid w:val="00A84C63"/>
    <w:rsid w:val="00A850AF"/>
    <w:rsid w:val="00A8691F"/>
    <w:rsid w:val="00A86A3A"/>
    <w:rsid w:val="00A87AC8"/>
    <w:rsid w:val="00A87C59"/>
    <w:rsid w:val="00A9014D"/>
    <w:rsid w:val="00A90409"/>
    <w:rsid w:val="00A90C24"/>
    <w:rsid w:val="00A92005"/>
    <w:rsid w:val="00A92D36"/>
    <w:rsid w:val="00A93D1C"/>
    <w:rsid w:val="00A94169"/>
    <w:rsid w:val="00A94683"/>
    <w:rsid w:val="00A94BD8"/>
    <w:rsid w:val="00A972A7"/>
    <w:rsid w:val="00A979F3"/>
    <w:rsid w:val="00AA0D30"/>
    <w:rsid w:val="00AA14D9"/>
    <w:rsid w:val="00AA151C"/>
    <w:rsid w:val="00AA1BDF"/>
    <w:rsid w:val="00AA1D5A"/>
    <w:rsid w:val="00AA24BE"/>
    <w:rsid w:val="00AA28A3"/>
    <w:rsid w:val="00AA2A79"/>
    <w:rsid w:val="00AA3365"/>
    <w:rsid w:val="00AA4703"/>
    <w:rsid w:val="00AA72A2"/>
    <w:rsid w:val="00AB0378"/>
    <w:rsid w:val="00AB0874"/>
    <w:rsid w:val="00AB0B2C"/>
    <w:rsid w:val="00AB1545"/>
    <w:rsid w:val="00AB3CF3"/>
    <w:rsid w:val="00AB3F4E"/>
    <w:rsid w:val="00AB4788"/>
    <w:rsid w:val="00AB4B30"/>
    <w:rsid w:val="00AB5948"/>
    <w:rsid w:val="00AB5C62"/>
    <w:rsid w:val="00AB6239"/>
    <w:rsid w:val="00AB6453"/>
    <w:rsid w:val="00AB7457"/>
    <w:rsid w:val="00AB7C38"/>
    <w:rsid w:val="00AB7D8F"/>
    <w:rsid w:val="00AC0357"/>
    <w:rsid w:val="00AC0A33"/>
    <w:rsid w:val="00AC0F74"/>
    <w:rsid w:val="00AC1A18"/>
    <w:rsid w:val="00AC1B81"/>
    <w:rsid w:val="00AC314E"/>
    <w:rsid w:val="00AC319C"/>
    <w:rsid w:val="00AC4260"/>
    <w:rsid w:val="00AC6229"/>
    <w:rsid w:val="00AC6A40"/>
    <w:rsid w:val="00AC7451"/>
    <w:rsid w:val="00AD25F7"/>
    <w:rsid w:val="00AD3142"/>
    <w:rsid w:val="00AD7245"/>
    <w:rsid w:val="00AD790D"/>
    <w:rsid w:val="00AE0197"/>
    <w:rsid w:val="00AE0DCD"/>
    <w:rsid w:val="00AE217D"/>
    <w:rsid w:val="00AE4572"/>
    <w:rsid w:val="00AE47BD"/>
    <w:rsid w:val="00AE51E6"/>
    <w:rsid w:val="00AE63BA"/>
    <w:rsid w:val="00AE7895"/>
    <w:rsid w:val="00AF120A"/>
    <w:rsid w:val="00AF1C28"/>
    <w:rsid w:val="00AF3770"/>
    <w:rsid w:val="00AF46E7"/>
    <w:rsid w:val="00AF5B4A"/>
    <w:rsid w:val="00AF7733"/>
    <w:rsid w:val="00B008A8"/>
    <w:rsid w:val="00B02370"/>
    <w:rsid w:val="00B044B0"/>
    <w:rsid w:val="00B04BE9"/>
    <w:rsid w:val="00B04E39"/>
    <w:rsid w:val="00B06116"/>
    <w:rsid w:val="00B063AF"/>
    <w:rsid w:val="00B07E66"/>
    <w:rsid w:val="00B1252A"/>
    <w:rsid w:val="00B12E47"/>
    <w:rsid w:val="00B1488E"/>
    <w:rsid w:val="00B1497A"/>
    <w:rsid w:val="00B14EC4"/>
    <w:rsid w:val="00B159F4"/>
    <w:rsid w:val="00B20071"/>
    <w:rsid w:val="00B20E3E"/>
    <w:rsid w:val="00B21EDE"/>
    <w:rsid w:val="00B226BC"/>
    <w:rsid w:val="00B23237"/>
    <w:rsid w:val="00B24408"/>
    <w:rsid w:val="00B24B9A"/>
    <w:rsid w:val="00B25546"/>
    <w:rsid w:val="00B2578A"/>
    <w:rsid w:val="00B259FD"/>
    <w:rsid w:val="00B264FE"/>
    <w:rsid w:val="00B2655F"/>
    <w:rsid w:val="00B309E0"/>
    <w:rsid w:val="00B321F3"/>
    <w:rsid w:val="00B3313F"/>
    <w:rsid w:val="00B33655"/>
    <w:rsid w:val="00B338B6"/>
    <w:rsid w:val="00B33C6B"/>
    <w:rsid w:val="00B34A47"/>
    <w:rsid w:val="00B35CA4"/>
    <w:rsid w:val="00B36EFB"/>
    <w:rsid w:val="00B3716D"/>
    <w:rsid w:val="00B378A7"/>
    <w:rsid w:val="00B400BB"/>
    <w:rsid w:val="00B40AB5"/>
    <w:rsid w:val="00B41079"/>
    <w:rsid w:val="00B4210E"/>
    <w:rsid w:val="00B42BDC"/>
    <w:rsid w:val="00B47497"/>
    <w:rsid w:val="00B50532"/>
    <w:rsid w:val="00B524CE"/>
    <w:rsid w:val="00B53534"/>
    <w:rsid w:val="00B53914"/>
    <w:rsid w:val="00B54E75"/>
    <w:rsid w:val="00B54FFA"/>
    <w:rsid w:val="00B55154"/>
    <w:rsid w:val="00B55C0A"/>
    <w:rsid w:val="00B5614B"/>
    <w:rsid w:val="00B621E3"/>
    <w:rsid w:val="00B6361B"/>
    <w:rsid w:val="00B66D00"/>
    <w:rsid w:val="00B706D4"/>
    <w:rsid w:val="00B70D25"/>
    <w:rsid w:val="00B72273"/>
    <w:rsid w:val="00B72412"/>
    <w:rsid w:val="00B72DF3"/>
    <w:rsid w:val="00B74991"/>
    <w:rsid w:val="00B8076A"/>
    <w:rsid w:val="00B80A4B"/>
    <w:rsid w:val="00B816C0"/>
    <w:rsid w:val="00B82B31"/>
    <w:rsid w:val="00B8360C"/>
    <w:rsid w:val="00B8364F"/>
    <w:rsid w:val="00B8398C"/>
    <w:rsid w:val="00B8548A"/>
    <w:rsid w:val="00B858BC"/>
    <w:rsid w:val="00B85C6D"/>
    <w:rsid w:val="00B85CCC"/>
    <w:rsid w:val="00B863DE"/>
    <w:rsid w:val="00B869AF"/>
    <w:rsid w:val="00B86F09"/>
    <w:rsid w:val="00B90693"/>
    <w:rsid w:val="00B9184E"/>
    <w:rsid w:val="00B91AA1"/>
    <w:rsid w:val="00B91BB2"/>
    <w:rsid w:val="00B91D61"/>
    <w:rsid w:val="00B92378"/>
    <w:rsid w:val="00B92C20"/>
    <w:rsid w:val="00B94495"/>
    <w:rsid w:val="00B96095"/>
    <w:rsid w:val="00B96C74"/>
    <w:rsid w:val="00B978C7"/>
    <w:rsid w:val="00BA13C3"/>
    <w:rsid w:val="00BA316F"/>
    <w:rsid w:val="00BA412E"/>
    <w:rsid w:val="00BA4503"/>
    <w:rsid w:val="00BA5D52"/>
    <w:rsid w:val="00BA7123"/>
    <w:rsid w:val="00BA76AD"/>
    <w:rsid w:val="00BB0866"/>
    <w:rsid w:val="00BB0969"/>
    <w:rsid w:val="00BB0F24"/>
    <w:rsid w:val="00BB27B8"/>
    <w:rsid w:val="00BB3299"/>
    <w:rsid w:val="00BB3584"/>
    <w:rsid w:val="00BB4650"/>
    <w:rsid w:val="00BB5682"/>
    <w:rsid w:val="00BB6B11"/>
    <w:rsid w:val="00BB72D0"/>
    <w:rsid w:val="00BB76B3"/>
    <w:rsid w:val="00BB791F"/>
    <w:rsid w:val="00BC0287"/>
    <w:rsid w:val="00BC0603"/>
    <w:rsid w:val="00BC0747"/>
    <w:rsid w:val="00BC130D"/>
    <w:rsid w:val="00BC2FE1"/>
    <w:rsid w:val="00BC314D"/>
    <w:rsid w:val="00BC5CCB"/>
    <w:rsid w:val="00BC5E75"/>
    <w:rsid w:val="00BC5FF8"/>
    <w:rsid w:val="00BC602B"/>
    <w:rsid w:val="00BC68DA"/>
    <w:rsid w:val="00BD3669"/>
    <w:rsid w:val="00BD3DD6"/>
    <w:rsid w:val="00BD4ECE"/>
    <w:rsid w:val="00BD7625"/>
    <w:rsid w:val="00BD7680"/>
    <w:rsid w:val="00BD7D43"/>
    <w:rsid w:val="00BD7DD4"/>
    <w:rsid w:val="00BE1B7E"/>
    <w:rsid w:val="00BE4D8E"/>
    <w:rsid w:val="00BE745D"/>
    <w:rsid w:val="00BF0101"/>
    <w:rsid w:val="00BF2ECC"/>
    <w:rsid w:val="00BF387A"/>
    <w:rsid w:val="00BF3F78"/>
    <w:rsid w:val="00BF4003"/>
    <w:rsid w:val="00BF4333"/>
    <w:rsid w:val="00BF5AF7"/>
    <w:rsid w:val="00BF73AB"/>
    <w:rsid w:val="00C01382"/>
    <w:rsid w:val="00C01C02"/>
    <w:rsid w:val="00C040B5"/>
    <w:rsid w:val="00C04348"/>
    <w:rsid w:val="00C043E0"/>
    <w:rsid w:val="00C04DCE"/>
    <w:rsid w:val="00C0503C"/>
    <w:rsid w:val="00C05A3D"/>
    <w:rsid w:val="00C06499"/>
    <w:rsid w:val="00C06DF4"/>
    <w:rsid w:val="00C072F0"/>
    <w:rsid w:val="00C1268B"/>
    <w:rsid w:val="00C134B5"/>
    <w:rsid w:val="00C16C5D"/>
    <w:rsid w:val="00C16F26"/>
    <w:rsid w:val="00C176CF"/>
    <w:rsid w:val="00C20D5D"/>
    <w:rsid w:val="00C21FAA"/>
    <w:rsid w:val="00C22007"/>
    <w:rsid w:val="00C233A9"/>
    <w:rsid w:val="00C24992"/>
    <w:rsid w:val="00C25BB5"/>
    <w:rsid w:val="00C260D5"/>
    <w:rsid w:val="00C269EC"/>
    <w:rsid w:val="00C27640"/>
    <w:rsid w:val="00C3066D"/>
    <w:rsid w:val="00C31807"/>
    <w:rsid w:val="00C31AA8"/>
    <w:rsid w:val="00C31B6C"/>
    <w:rsid w:val="00C32300"/>
    <w:rsid w:val="00C32B1F"/>
    <w:rsid w:val="00C33520"/>
    <w:rsid w:val="00C33AF1"/>
    <w:rsid w:val="00C35560"/>
    <w:rsid w:val="00C3596E"/>
    <w:rsid w:val="00C371F2"/>
    <w:rsid w:val="00C37503"/>
    <w:rsid w:val="00C37A0E"/>
    <w:rsid w:val="00C41E03"/>
    <w:rsid w:val="00C424EB"/>
    <w:rsid w:val="00C425D1"/>
    <w:rsid w:val="00C44673"/>
    <w:rsid w:val="00C44D6C"/>
    <w:rsid w:val="00C45090"/>
    <w:rsid w:val="00C4659D"/>
    <w:rsid w:val="00C46667"/>
    <w:rsid w:val="00C46BCE"/>
    <w:rsid w:val="00C4716F"/>
    <w:rsid w:val="00C476EA"/>
    <w:rsid w:val="00C502DB"/>
    <w:rsid w:val="00C52508"/>
    <w:rsid w:val="00C52B52"/>
    <w:rsid w:val="00C52BFE"/>
    <w:rsid w:val="00C54253"/>
    <w:rsid w:val="00C55CBD"/>
    <w:rsid w:val="00C56804"/>
    <w:rsid w:val="00C56A82"/>
    <w:rsid w:val="00C56B1B"/>
    <w:rsid w:val="00C61355"/>
    <w:rsid w:val="00C61C77"/>
    <w:rsid w:val="00C63341"/>
    <w:rsid w:val="00C633FB"/>
    <w:rsid w:val="00C64301"/>
    <w:rsid w:val="00C70960"/>
    <w:rsid w:val="00C72D1C"/>
    <w:rsid w:val="00C7300D"/>
    <w:rsid w:val="00C752DC"/>
    <w:rsid w:val="00C7585A"/>
    <w:rsid w:val="00C75B03"/>
    <w:rsid w:val="00C76195"/>
    <w:rsid w:val="00C76F79"/>
    <w:rsid w:val="00C77BE6"/>
    <w:rsid w:val="00C80A6E"/>
    <w:rsid w:val="00C81B7D"/>
    <w:rsid w:val="00C81D85"/>
    <w:rsid w:val="00C821E4"/>
    <w:rsid w:val="00C82312"/>
    <w:rsid w:val="00C85B0E"/>
    <w:rsid w:val="00C86B80"/>
    <w:rsid w:val="00C86EB7"/>
    <w:rsid w:val="00C878D6"/>
    <w:rsid w:val="00C87E4E"/>
    <w:rsid w:val="00C91264"/>
    <w:rsid w:val="00C91B2C"/>
    <w:rsid w:val="00C92001"/>
    <w:rsid w:val="00C93EA2"/>
    <w:rsid w:val="00C946D8"/>
    <w:rsid w:val="00C9482F"/>
    <w:rsid w:val="00C96FC7"/>
    <w:rsid w:val="00C9705D"/>
    <w:rsid w:val="00CA0815"/>
    <w:rsid w:val="00CA2FB7"/>
    <w:rsid w:val="00CA3E66"/>
    <w:rsid w:val="00CA5982"/>
    <w:rsid w:val="00CA63DC"/>
    <w:rsid w:val="00CA6429"/>
    <w:rsid w:val="00CA6EE5"/>
    <w:rsid w:val="00CA76C8"/>
    <w:rsid w:val="00CA7E8E"/>
    <w:rsid w:val="00CB00DB"/>
    <w:rsid w:val="00CB224F"/>
    <w:rsid w:val="00CB368C"/>
    <w:rsid w:val="00CB3ED0"/>
    <w:rsid w:val="00CB4620"/>
    <w:rsid w:val="00CB4783"/>
    <w:rsid w:val="00CB5974"/>
    <w:rsid w:val="00CB61BC"/>
    <w:rsid w:val="00CB6A79"/>
    <w:rsid w:val="00CB742D"/>
    <w:rsid w:val="00CB7E3B"/>
    <w:rsid w:val="00CB7FB2"/>
    <w:rsid w:val="00CC09E4"/>
    <w:rsid w:val="00CC151B"/>
    <w:rsid w:val="00CC31BF"/>
    <w:rsid w:val="00CC3219"/>
    <w:rsid w:val="00CC4C11"/>
    <w:rsid w:val="00CC5ADC"/>
    <w:rsid w:val="00CC6414"/>
    <w:rsid w:val="00CC65DD"/>
    <w:rsid w:val="00CC6638"/>
    <w:rsid w:val="00CC6CB4"/>
    <w:rsid w:val="00CC7328"/>
    <w:rsid w:val="00CC7965"/>
    <w:rsid w:val="00CD0717"/>
    <w:rsid w:val="00CD0730"/>
    <w:rsid w:val="00CD10DF"/>
    <w:rsid w:val="00CD21A8"/>
    <w:rsid w:val="00CD24E2"/>
    <w:rsid w:val="00CD31E6"/>
    <w:rsid w:val="00CD3AB0"/>
    <w:rsid w:val="00CD489F"/>
    <w:rsid w:val="00CD5387"/>
    <w:rsid w:val="00CD56B2"/>
    <w:rsid w:val="00CD5BA4"/>
    <w:rsid w:val="00CD5D31"/>
    <w:rsid w:val="00CD665F"/>
    <w:rsid w:val="00CD691A"/>
    <w:rsid w:val="00CE03C7"/>
    <w:rsid w:val="00CE42AA"/>
    <w:rsid w:val="00CE542C"/>
    <w:rsid w:val="00CE5FE1"/>
    <w:rsid w:val="00CE700C"/>
    <w:rsid w:val="00CE7164"/>
    <w:rsid w:val="00CE7FC8"/>
    <w:rsid w:val="00CF0DEA"/>
    <w:rsid w:val="00CF23EF"/>
    <w:rsid w:val="00CF260B"/>
    <w:rsid w:val="00CF3168"/>
    <w:rsid w:val="00CF448B"/>
    <w:rsid w:val="00CF63EC"/>
    <w:rsid w:val="00CF6CC0"/>
    <w:rsid w:val="00CF70E7"/>
    <w:rsid w:val="00D01A0E"/>
    <w:rsid w:val="00D01F51"/>
    <w:rsid w:val="00D023B5"/>
    <w:rsid w:val="00D03DD2"/>
    <w:rsid w:val="00D04476"/>
    <w:rsid w:val="00D053AC"/>
    <w:rsid w:val="00D05826"/>
    <w:rsid w:val="00D07414"/>
    <w:rsid w:val="00D07497"/>
    <w:rsid w:val="00D07FDE"/>
    <w:rsid w:val="00D10451"/>
    <w:rsid w:val="00D11666"/>
    <w:rsid w:val="00D1235F"/>
    <w:rsid w:val="00D1419D"/>
    <w:rsid w:val="00D14234"/>
    <w:rsid w:val="00D16DB5"/>
    <w:rsid w:val="00D17C47"/>
    <w:rsid w:val="00D200C2"/>
    <w:rsid w:val="00D21155"/>
    <w:rsid w:val="00D21EB0"/>
    <w:rsid w:val="00D22354"/>
    <w:rsid w:val="00D22481"/>
    <w:rsid w:val="00D22882"/>
    <w:rsid w:val="00D231D0"/>
    <w:rsid w:val="00D23BB2"/>
    <w:rsid w:val="00D24DCB"/>
    <w:rsid w:val="00D24FC2"/>
    <w:rsid w:val="00D27693"/>
    <w:rsid w:val="00D27C9B"/>
    <w:rsid w:val="00D31452"/>
    <w:rsid w:val="00D32006"/>
    <w:rsid w:val="00D32569"/>
    <w:rsid w:val="00D32E69"/>
    <w:rsid w:val="00D34673"/>
    <w:rsid w:val="00D34D0D"/>
    <w:rsid w:val="00D34DD7"/>
    <w:rsid w:val="00D350F7"/>
    <w:rsid w:val="00D353B5"/>
    <w:rsid w:val="00D35CF2"/>
    <w:rsid w:val="00D42999"/>
    <w:rsid w:val="00D44092"/>
    <w:rsid w:val="00D45175"/>
    <w:rsid w:val="00D45F1A"/>
    <w:rsid w:val="00D468FF"/>
    <w:rsid w:val="00D46AD7"/>
    <w:rsid w:val="00D473A4"/>
    <w:rsid w:val="00D477F0"/>
    <w:rsid w:val="00D47922"/>
    <w:rsid w:val="00D502C8"/>
    <w:rsid w:val="00D50DF2"/>
    <w:rsid w:val="00D50FA6"/>
    <w:rsid w:val="00D512AC"/>
    <w:rsid w:val="00D51B86"/>
    <w:rsid w:val="00D5211E"/>
    <w:rsid w:val="00D5278A"/>
    <w:rsid w:val="00D53395"/>
    <w:rsid w:val="00D5489D"/>
    <w:rsid w:val="00D54FE3"/>
    <w:rsid w:val="00D55B0D"/>
    <w:rsid w:val="00D55DC2"/>
    <w:rsid w:val="00D56AE9"/>
    <w:rsid w:val="00D57AAD"/>
    <w:rsid w:val="00D61356"/>
    <w:rsid w:val="00D61817"/>
    <w:rsid w:val="00D63ABD"/>
    <w:rsid w:val="00D63DF4"/>
    <w:rsid w:val="00D63DF6"/>
    <w:rsid w:val="00D641BC"/>
    <w:rsid w:val="00D65433"/>
    <w:rsid w:val="00D6570B"/>
    <w:rsid w:val="00D65799"/>
    <w:rsid w:val="00D6754D"/>
    <w:rsid w:val="00D675EB"/>
    <w:rsid w:val="00D70061"/>
    <w:rsid w:val="00D72233"/>
    <w:rsid w:val="00D73332"/>
    <w:rsid w:val="00D7364F"/>
    <w:rsid w:val="00D7399A"/>
    <w:rsid w:val="00D743CD"/>
    <w:rsid w:val="00D80580"/>
    <w:rsid w:val="00D81270"/>
    <w:rsid w:val="00D826F6"/>
    <w:rsid w:val="00D82980"/>
    <w:rsid w:val="00D86DCF"/>
    <w:rsid w:val="00D872F1"/>
    <w:rsid w:val="00D877BC"/>
    <w:rsid w:val="00D87A94"/>
    <w:rsid w:val="00D90DA3"/>
    <w:rsid w:val="00D910D1"/>
    <w:rsid w:val="00D91639"/>
    <w:rsid w:val="00D91A72"/>
    <w:rsid w:val="00D92014"/>
    <w:rsid w:val="00D92270"/>
    <w:rsid w:val="00D93049"/>
    <w:rsid w:val="00D93BD7"/>
    <w:rsid w:val="00D944D2"/>
    <w:rsid w:val="00D94BF9"/>
    <w:rsid w:val="00D9578D"/>
    <w:rsid w:val="00D9687A"/>
    <w:rsid w:val="00D96B61"/>
    <w:rsid w:val="00DA0150"/>
    <w:rsid w:val="00DA0317"/>
    <w:rsid w:val="00DA204E"/>
    <w:rsid w:val="00DA2728"/>
    <w:rsid w:val="00DA332B"/>
    <w:rsid w:val="00DA3A7C"/>
    <w:rsid w:val="00DA4403"/>
    <w:rsid w:val="00DA58EA"/>
    <w:rsid w:val="00DA5F40"/>
    <w:rsid w:val="00DA73F4"/>
    <w:rsid w:val="00DB0E4F"/>
    <w:rsid w:val="00DB264B"/>
    <w:rsid w:val="00DB3754"/>
    <w:rsid w:val="00DB4285"/>
    <w:rsid w:val="00DB46B1"/>
    <w:rsid w:val="00DB4A9C"/>
    <w:rsid w:val="00DB500B"/>
    <w:rsid w:val="00DB6084"/>
    <w:rsid w:val="00DB7291"/>
    <w:rsid w:val="00DC1768"/>
    <w:rsid w:val="00DC1F5F"/>
    <w:rsid w:val="00DC20DE"/>
    <w:rsid w:val="00DC24D0"/>
    <w:rsid w:val="00DC282F"/>
    <w:rsid w:val="00DC321D"/>
    <w:rsid w:val="00DC347B"/>
    <w:rsid w:val="00DC500C"/>
    <w:rsid w:val="00DC764B"/>
    <w:rsid w:val="00DC7FEC"/>
    <w:rsid w:val="00DD0028"/>
    <w:rsid w:val="00DD07A2"/>
    <w:rsid w:val="00DD0FC4"/>
    <w:rsid w:val="00DD27A3"/>
    <w:rsid w:val="00DD32C8"/>
    <w:rsid w:val="00DD3733"/>
    <w:rsid w:val="00DD6488"/>
    <w:rsid w:val="00DD7C33"/>
    <w:rsid w:val="00DD7FAF"/>
    <w:rsid w:val="00DE1340"/>
    <w:rsid w:val="00DE13DE"/>
    <w:rsid w:val="00DE15A2"/>
    <w:rsid w:val="00DE2CD9"/>
    <w:rsid w:val="00DE348D"/>
    <w:rsid w:val="00DE398B"/>
    <w:rsid w:val="00DE3E65"/>
    <w:rsid w:val="00DE6CDA"/>
    <w:rsid w:val="00DE6E4D"/>
    <w:rsid w:val="00DE727B"/>
    <w:rsid w:val="00DE783D"/>
    <w:rsid w:val="00DF06C7"/>
    <w:rsid w:val="00DF09E0"/>
    <w:rsid w:val="00DF228A"/>
    <w:rsid w:val="00DF27B7"/>
    <w:rsid w:val="00DF61C7"/>
    <w:rsid w:val="00DF728F"/>
    <w:rsid w:val="00DF7B97"/>
    <w:rsid w:val="00DF7BB5"/>
    <w:rsid w:val="00E00629"/>
    <w:rsid w:val="00E00F2C"/>
    <w:rsid w:val="00E01434"/>
    <w:rsid w:val="00E026D0"/>
    <w:rsid w:val="00E02D18"/>
    <w:rsid w:val="00E052CD"/>
    <w:rsid w:val="00E05AE7"/>
    <w:rsid w:val="00E07673"/>
    <w:rsid w:val="00E10646"/>
    <w:rsid w:val="00E13C77"/>
    <w:rsid w:val="00E13FCE"/>
    <w:rsid w:val="00E14F03"/>
    <w:rsid w:val="00E17214"/>
    <w:rsid w:val="00E174B6"/>
    <w:rsid w:val="00E17A4F"/>
    <w:rsid w:val="00E227C7"/>
    <w:rsid w:val="00E23082"/>
    <w:rsid w:val="00E23EB6"/>
    <w:rsid w:val="00E24686"/>
    <w:rsid w:val="00E25F4A"/>
    <w:rsid w:val="00E27740"/>
    <w:rsid w:val="00E31787"/>
    <w:rsid w:val="00E317B7"/>
    <w:rsid w:val="00E31A2B"/>
    <w:rsid w:val="00E31EA0"/>
    <w:rsid w:val="00E32E8D"/>
    <w:rsid w:val="00E32F1E"/>
    <w:rsid w:val="00E34F8E"/>
    <w:rsid w:val="00E351F8"/>
    <w:rsid w:val="00E36541"/>
    <w:rsid w:val="00E36680"/>
    <w:rsid w:val="00E3719F"/>
    <w:rsid w:val="00E37A8E"/>
    <w:rsid w:val="00E40720"/>
    <w:rsid w:val="00E40C11"/>
    <w:rsid w:val="00E41316"/>
    <w:rsid w:val="00E42403"/>
    <w:rsid w:val="00E43C80"/>
    <w:rsid w:val="00E4562E"/>
    <w:rsid w:val="00E46B4D"/>
    <w:rsid w:val="00E47410"/>
    <w:rsid w:val="00E500C9"/>
    <w:rsid w:val="00E50919"/>
    <w:rsid w:val="00E5128B"/>
    <w:rsid w:val="00E52086"/>
    <w:rsid w:val="00E551F2"/>
    <w:rsid w:val="00E55203"/>
    <w:rsid w:val="00E5554B"/>
    <w:rsid w:val="00E57ADF"/>
    <w:rsid w:val="00E57D17"/>
    <w:rsid w:val="00E601B5"/>
    <w:rsid w:val="00E61781"/>
    <w:rsid w:val="00E61BC6"/>
    <w:rsid w:val="00E61CEA"/>
    <w:rsid w:val="00E624B3"/>
    <w:rsid w:val="00E625C0"/>
    <w:rsid w:val="00E62C87"/>
    <w:rsid w:val="00E63B60"/>
    <w:rsid w:val="00E64F86"/>
    <w:rsid w:val="00E652B0"/>
    <w:rsid w:val="00E65EDC"/>
    <w:rsid w:val="00E67134"/>
    <w:rsid w:val="00E673CE"/>
    <w:rsid w:val="00E7120B"/>
    <w:rsid w:val="00E71426"/>
    <w:rsid w:val="00E71520"/>
    <w:rsid w:val="00E715DE"/>
    <w:rsid w:val="00E72501"/>
    <w:rsid w:val="00E73E97"/>
    <w:rsid w:val="00E74A4C"/>
    <w:rsid w:val="00E77017"/>
    <w:rsid w:val="00E81B90"/>
    <w:rsid w:val="00E834A4"/>
    <w:rsid w:val="00E837DB"/>
    <w:rsid w:val="00E85C26"/>
    <w:rsid w:val="00E866BD"/>
    <w:rsid w:val="00E87315"/>
    <w:rsid w:val="00E87478"/>
    <w:rsid w:val="00E8757D"/>
    <w:rsid w:val="00E87D1F"/>
    <w:rsid w:val="00E9293C"/>
    <w:rsid w:val="00E969BC"/>
    <w:rsid w:val="00E96BA9"/>
    <w:rsid w:val="00E976D3"/>
    <w:rsid w:val="00E97BE8"/>
    <w:rsid w:val="00EA0A8C"/>
    <w:rsid w:val="00EA387A"/>
    <w:rsid w:val="00EA51A2"/>
    <w:rsid w:val="00EA625A"/>
    <w:rsid w:val="00EA65F6"/>
    <w:rsid w:val="00EA68BD"/>
    <w:rsid w:val="00EA7A5E"/>
    <w:rsid w:val="00EA7D20"/>
    <w:rsid w:val="00EA7D6D"/>
    <w:rsid w:val="00EA7E4D"/>
    <w:rsid w:val="00EB0117"/>
    <w:rsid w:val="00EB08F1"/>
    <w:rsid w:val="00EB3382"/>
    <w:rsid w:val="00EB3394"/>
    <w:rsid w:val="00EB3CF8"/>
    <w:rsid w:val="00EB4A7F"/>
    <w:rsid w:val="00EB53B9"/>
    <w:rsid w:val="00EB5A1B"/>
    <w:rsid w:val="00EB6497"/>
    <w:rsid w:val="00EB6632"/>
    <w:rsid w:val="00EB6647"/>
    <w:rsid w:val="00EB739E"/>
    <w:rsid w:val="00EC03B9"/>
    <w:rsid w:val="00EC08D4"/>
    <w:rsid w:val="00EC1356"/>
    <w:rsid w:val="00EC180C"/>
    <w:rsid w:val="00EC267A"/>
    <w:rsid w:val="00EC2F47"/>
    <w:rsid w:val="00EC32B5"/>
    <w:rsid w:val="00EC47E0"/>
    <w:rsid w:val="00EC647C"/>
    <w:rsid w:val="00EC651B"/>
    <w:rsid w:val="00EC69BF"/>
    <w:rsid w:val="00EC6BD0"/>
    <w:rsid w:val="00EC7E56"/>
    <w:rsid w:val="00ED1609"/>
    <w:rsid w:val="00ED1AD4"/>
    <w:rsid w:val="00ED2B8C"/>
    <w:rsid w:val="00ED30CE"/>
    <w:rsid w:val="00ED3153"/>
    <w:rsid w:val="00ED3716"/>
    <w:rsid w:val="00ED3B3A"/>
    <w:rsid w:val="00ED4563"/>
    <w:rsid w:val="00ED4E10"/>
    <w:rsid w:val="00ED4E75"/>
    <w:rsid w:val="00ED5175"/>
    <w:rsid w:val="00ED5509"/>
    <w:rsid w:val="00ED5C8E"/>
    <w:rsid w:val="00ED5E91"/>
    <w:rsid w:val="00EE03A4"/>
    <w:rsid w:val="00EE1FB6"/>
    <w:rsid w:val="00EE2057"/>
    <w:rsid w:val="00EE28B5"/>
    <w:rsid w:val="00EE4FE4"/>
    <w:rsid w:val="00EE5A26"/>
    <w:rsid w:val="00EE695F"/>
    <w:rsid w:val="00EE6E47"/>
    <w:rsid w:val="00EE723A"/>
    <w:rsid w:val="00EE784C"/>
    <w:rsid w:val="00EF07F8"/>
    <w:rsid w:val="00EF0861"/>
    <w:rsid w:val="00EF2D6E"/>
    <w:rsid w:val="00EF352A"/>
    <w:rsid w:val="00EF3F8B"/>
    <w:rsid w:val="00EF4798"/>
    <w:rsid w:val="00EF5A4A"/>
    <w:rsid w:val="00EF5B8F"/>
    <w:rsid w:val="00EF6195"/>
    <w:rsid w:val="00F00041"/>
    <w:rsid w:val="00F00700"/>
    <w:rsid w:val="00F00EAF"/>
    <w:rsid w:val="00F02CC5"/>
    <w:rsid w:val="00F0439A"/>
    <w:rsid w:val="00F04F9C"/>
    <w:rsid w:val="00F05553"/>
    <w:rsid w:val="00F05896"/>
    <w:rsid w:val="00F05C5F"/>
    <w:rsid w:val="00F05C7F"/>
    <w:rsid w:val="00F05DA7"/>
    <w:rsid w:val="00F070B9"/>
    <w:rsid w:val="00F10448"/>
    <w:rsid w:val="00F105C9"/>
    <w:rsid w:val="00F10B8B"/>
    <w:rsid w:val="00F1118C"/>
    <w:rsid w:val="00F127BA"/>
    <w:rsid w:val="00F1391F"/>
    <w:rsid w:val="00F13E1C"/>
    <w:rsid w:val="00F13FD6"/>
    <w:rsid w:val="00F16975"/>
    <w:rsid w:val="00F16FD3"/>
    <w:rsid w:val="00F17720"/>
    <w:rsid w:val="00F17AD9"/>
    <w:rsid w:val="00F17C7B"/>
    <w:rsid w:val="00F20CCF"/>
    <w:rsid w:val="00F21028"/>
    <w:rsid w:val="00F21C8A"/>
    <w:rsid w:val="00F22353"/>
    <w:rsid w:val="00F233A5"/>
    <w:rsid w:val="00F23417"/>
    <w:rsid w:val="00F24AE2"/>
    <w:rsid w:val="00F24FA3"/>
    <w:rsid w:val="00F26586"/>
    <w:rsid w:val="00F275B2"/>
    <w:rsid w:val="00F27D51"/>
    <w:rsid w:val="00F30BBB"/>
    <w:rsid w:val="00F31777"/>
    <w:rsid w:val="00F32398"/>
    <w:rsid w:val="00F34E72"/>
    <w:rsid w:val="00F35E41"/>
    <w:rsid w:val="00F37EEB"/>
    <w:rsid w:val="00F37F63"/>
    <w:rsid w:val="00F408A9"/>
    <w:rsid w:val="00F40BA2"/>
    <w:rsid w:val="00F417C2"/>
    <w:rsid w:val="00F41EC4"/>
    <w:rsid w:val="00F432EF"/>
    <w:rsid w:val="00F4346A"/>
    <w:rsid w:val="00F44CBB"/>
    <w:rsid w:val="00F44CFB"/>
    <w:rsid w:val="00F457B1"/>
    <w:rsid w:val="00F45BA8"/>
    <w:rsid w:val="00F45EC7"/>
    <w:rsid w:val="00F477ED"/>
    <w:rsid w:val="00F501DC"/>
    <w:rsid w:val="00F52A09"/>
    <w:rsid w:val="00F531B7"/>
    <w:rsid w:val="00F547E7"/>
    <w:rsid w:val="00F55BF0"/>
    <w:rsid w:val="00F55CD4"/>
    <w:rsid w:val="00F564B0"/>
    <w:rsid w:val="00F56FE7"/>
    <w:rsid w:val="00F60C49"/>
    <w:rsid w:val="00F60CCD"/>
    <w:rsid w:val="00F613AA"/>
    <w:rsid w:val="00F61FFD"/>
    <w:rsid w:val="00F62288"/>
    <w:rsid w:val="00F623F4"/>
    <w:rsid w:val="00F628B5"/>
    <w:rsid w:val="00F63CAA"/>
    <w:rsid w:val="00F64D9F"/>
    <w:rsid w:val="00F6614E"/>
    <w:rsid w:val="00F66706"/>
    <w:rsid w:val="00F66DE7"/>
    <w:rsid w:val="00F706B1"/>
    <w:rsid w:val="00F71EFD"/>
    <w:rsid w:val="00F72122"/>
    <w:rsid w:val="00F72AF2"/>
    <w:rsid w:val="00F72B3D"/>
    <w:rsid w:val="00F72EBF"/>
    <w:rsid w:val="00F7346D"/>
    <w:rsid w:val="00F7466D"/>
    <w:rsid w:val="00F75248"/>
    <w:rsid w:val="00F75486"/>
    <w:rsid w:val="00F75C30"/>
    <w:rsid w:val="00F7616C"/>
    <w:rsid w:val="00F77642"/>
    <w:rsid w:val="00F81466"/>
    <w:rsid w:val="00F84099"/>
    <w:rsid w:val="00F85E3C"/>
    <w:rsid w:val="00F85ED4"/>
    <w:rsid w:val="00F8605A"/>
    <w:rsid w:val="00F86CE1"/>
    <w:rsid w:val="00F8727D"/>
    <w:rsid w:val="00F87296"/>
    <w:rsid w:val="00F8756E"/>
    <w:rsid w:val="00F90C05"/>
    <w:rsid w:val="00F914AD"/>
    <w:rsid w:val="00F917D2"/>
    <w:rsid w:val="00F92BA9"/>
    <w:rsid w:val="00F94139"/>
    <w:rsid w:val="00F947B7"/>
    <w:rsid w:val="00F949D2"/>
    <w:rsid w:val="00F94F6D"/>
    <w:rsid w:val="00F9594E"/>
    <w:rsid w:val="00F96B68"/>
    <w:rsid w:val="00F9722C"/>
    <w:rsid w:val="00F976AC"/>
    <w:rsid w:val="00FA02A4"/>
    <w:rsid w:val="00FA1EEA"/>
    <w:rsid w:val="00FA2215"/>
    <w:rsid w:val="00FA3D0E"/>
    <w:rsid w:val="00FA49B8"/>
    <w:rsid w:val="00FA715C"/>
    <w:rsid w:val="00FA732C"/>
    <w:rsid w:val="00FA7F9C"/>
    <w:rsid w:val="00FB0B5E"/>
    <w:rsid w:val="00FB0BE6"/>
    <w:rsid w:val="00FB0E68"/>
    <w:rsid w:val="00FB0F8F"/>
    <w:rsid w:val="00FB2AA3"/>
    <w:rsid w:val="00FB38E2"/>
    <w:rsid w:val="00FB5A4E"/>
    <w:rsid w:val="00FB5E66"/>
    <w:rsid w:val="00FB7D61"/>
    <w:rsid w:val="00FB7FB8"/>
    <w:rsid w:val="00FC0AA0"/>
    <w:rsid w:val="00FC0B09"/>
    <w:rsid w:val="00FC1717"/>
    <w:rsid w:val="00FC1974"/>
    <w:rsid w:val="00FC2267"/>
    <w:rsid w:val="00FC23FB"/>
    <w:rsid w:val="00FC2C09"/>
    <w:rsid w:val="00FC2C9F"/>
    <w:rsid w:val="00FC3013"/>
    <w:rsid w:val="00FC3C97"/>
    <w:rsid w:val="00FC3E2F"/>
    <w:rsid w:val="00FC53DF"/>
    <w:rsid w:val="00FC58A4"/>
    <w:rsid w:val="00FC7A49"/>
    <w:rsid w:val="00FD0B2D"/>
    <w:rsid w:val="00FD13A7"/>
    <w:rsid w:val="00FD2DE4"/>
    <w:rsid w:val="00FD3B95"/>
    <w:rsid w:val="00FD4096"/>
    <w:rsid w:val="00FD5C80"/>
    <w:rsid w:val="00FD60C0"/>
    <w:rsid w:val="00FD6F5B"/>
    <w:rsid w:val="00FE04B0"/>
    <w:rsid w:val="00FE180D"/>
    <w:rsid w:val="00FE24B9"/>
    <w:rsid w:val="00FE3195"/>
    <w:rsid w:val="00FE39CB"/>
    <w:rsid w:val="00FE4716"/>
    <w:rsid w:val="00FF0EB7"/>
    <w:rsid w:val="00FF0FBB"/>
    <w:rsid w:val="00FF23B4"/>
    <w:rsid w:val="00FF252B"/>
    <w:rsid w:val="00FF2945"/>
    <w:rsid w:val="00FF3006"/>
    <w:rsid w:val="00FF3048"/>
    <w:rsid w:val="00FF3FFA"/>
    <w:rsid w:val="00FF4C58"/>
    <w:rsid w:val="00FF517A"/>
    <w:rsid w:val="00FF5906"/>
    <w:rsid w:val="00FF6A01"/>
    <w:rsid w:val="00FF6ECF"/>
    <w:rsid w:val="00FF7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406"/>
    <w:pPr>
      <w:jc w:val="both"/>
    </w:pPr>
    <w:rPr>
      <w:sz w:val="24"/>
      <w:szCs w:val="24"/>
    </w:rPr>
  </w:style>
  <w:style w:type="paragraph" w:styleId="Titolo1">
    <w:name w:val="heading 1"/>
    <w:basedOn w:val="Normale"/>
    <w:next w:val="Normale"/>
    <w:qFormat/>
    <w:rsid w:val="003E336F"/>
    <w:pPr>
      <w:keepNext/>
      <w:numPr>
        <w:numId w:val="1"/>
      </w:numPr>
      <w:spacing w:before="120" w:after="120"/>
      <w:outlineLvl w:val="0"/>
    </w:pPr>
    <w:rPr>
      <w:rFonts w:cs="Arial"/>
      <w:b/>
      <w:bCs/>
      <w:kern w:val="32"/>
      <w:sz w:val="26"/>
      <w:szCs w:val="32"/>
    </w:rPr>
  </w:style>
  <w:style w:type="paragraph" w:styleId="Titolo2">
    <w:name w:val="heading 2"/>
    <w:basedOn w:val="Normale"/>
    <w:next w:val="Normale"/>
    <w:qFormat/>
    <w:rsid w:val="00A73718"/>
    <w:pPr>
      <w:keepNext/>
      <w:numPr>
        <w:ilvl w:val="1"/>
        <w:numId w:val="1"/>
      </w:numPr>
      <w:spacing w:before="120" w:after="60"/>
      <w:jc w:val="left"/>
      <w:outlineLvl w:val="1"/>
    </w:pPr>
    <w:rPr>
      <w:rFonts w:cs="Arial"/>
      <w:b/>
      <w:bCs/>
      <w:iCs/>
      <w:lang w:eastAsia="en-GB"/>
    </w:rPr>
  </w:style>
  <w:style w:type="paragraph" w:styleId="Titolo3">
    <w:name w:val="heading 3"/>
    <w:basedOn w:val="Normale"/>
    <w:next w:val="Normale"/>
    <w:link w:val="Titolo3Carattere"/>
    <w:qFormat/>
    <w:rsid w:val="00F613AA"/>
    <w:pPr>
      <w:keepNext/>
      <w:numPr>
        <w:ilvl w:val="2"/>
        <w:numId w:val="1"/>
      </w:numPr>
      <w:spacing w:after="160"/>
      <w:outlineLvl w:val="2"/>
    </w:pPr>
    <w:rPr>
      <w:rFonts w:cs="Arial"/>
      <w:b/>
      <w:bCs/>
      <w:i/>
      <w:lang w:eastAsia="en-GB"/>
    </w:rPr>
  </w:style>
  <w:style w:type="paragraph" w:styleId="Titolo4">
    <w:name w:val="heading 4"/>
    <w:basedOn w:val="Normale"/>
    <w:next w:val="Normale"/>
    <w:qFormat/>
    <w:rsid w:val="007B596F"/>
    <w:pPr>
      <w:keepNext/>
      <w:numPr>
        <w:ilvl w:val="3"/>
        <w:numId w:val="1"/>
      </w:numPr>
      <w:spacing w:after="120"/>
      <w:jc w:val="left"/>
      <w:outlineLvl w:val="3"/>
    </w:pPr>
    <w:rPr>
      <w:bCs/>
      <w:i/>
    </w:rPr>
  </w:style>
  <w:style w:type="paragraph" w:styleId="Titolo5">
    <w:name w:val="heading 5"/>
    <w:basedOn w:val="Normale"/>
    <w:next w:val="Normale"/>
    <w:qFormat/>
    <w:rsid w:val="008D0C69"/>
    <w:pPr>
      <w:numPr>
        <w:ilvl w:val="4"/>
        <w:numId w:val="1"/>
      </w:numPr>
      <w:spacing w:before="240" w:after="60"/>
      <w:outlineLvl w:val="4"/>
    </w:pPr>
    <w:rPr>
      <w:b/>
      <w:bCs/>
      <w:i/>
      <w:iCs/>
      <w:sz w:val="26"/>
      <w:szCs w:val="26"/>
    </w:rPr>
  </w:style>
  <w:style w:type="paragraph" w:styleId="Titolo6">
    <w:name w:val="heading 6"/>
    <w:basedOn w:val="Normale"/>
    <w:next w:val="Normale"/>
    <w:qFormat/>
    <w:rsid w:val="008D0C69"/>
    <w:pPr>
      <w:numPr>
        <w:ilvl w:val="5"/>
        <w:numId w:val="1"/>
      </w:numPr>
      <w:spacing w:before="240" w:after="60"/>
      <w:outlineLvl w:val="5"/>
    </w:pPr>
    <w:rPr>
      <w:b/>
      <w:bCs/>
      <w:sz w:val="22"/>
      <w:szCs w:val="22"/>
    </w:rPr>
  </w:style>
  <w:style w:type="paragraph" w:styleId="Titolo7">
    <w:name w:val="heading 7"/>
    <w:basedOn w:val="Normale"/>
    <w:next w:val="Normale"/>
    <w:qFormat/>
    <w:rsid w:val="008D0C69"/>
    <w:pPr>
      <w:numPr>
        <w:ilvl w:val="6"/>
        <w:numId w:val="1"/>
      </w:numPr>
      <w:spacing w:before="240" w:after="60"/>
      <w:outlineLvl w:val="6"/>
    </w:pPr>
  </w:style>
  <w:style w:type="paragraph" w:styleId="Titolo8">
    <w:name w:val="heading 8"/>
    <w:basedOn w:val="Normale"/>
    <w:next w:val="Normale"/>
    <w:qFormat/>
    <w:rsid w:val="008D0C69"/>
    <w:pPr>
      <w:numPr>
        <w:ilvl w:val="7"/>
        <w:numId w:val="1"/>
      </w:numPr>
      <w:spacing w:before="240" w:after="60"/>
      <w:outlineLvl w:val="7"/>
    </w:pPr>
    <w:rPr>
      <w:i/>
      <w:iCs/>
    </w:rPr>
  </w:style>
  <w:style w:type="paragraph" w:styleId="Titolo9">
    <w:name w:val="heading 9"/>
    <w:basedOn w:val="Normale"/>
    <w:next w:val="Normale"/>
    <w:qFormat/>
    <w:rsid w:val="008D0C69"/>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0C69"/>
    <w:rPr>
      <w:rFonts w:ascii="Tahoma" w:hAnsi="Tahoma" w:cs="Tahoma"/>
      <w:sz w:val="16"/>
      <w:szCs w:val="16"/>
    </w:rPr>
  </w:style>
  <w:style w:type="paragraph" w:styleId="Corpodeltesto">
    <w:name w:val="Body Text"/>
    <w:basedOn w:val="Bodytextbase"/>
    <w:link w:val="CorpodeltestoCarattere"/>
    <w:semiHidden/>
    <w:rsid w:val="008D0C69"/>
    <w:pPr>
      <w:spacing w:before="60"/>
    </w:pPr>
  </w:style>
  <w:style w:type="paragraph" w:customStyle="1" w:styleId="Bodytextbase">
    <w:name w:val="Body text base"/>
    <w:basedOn w:val="Normale"/>
    <w:rsid w:val="008D0C69"/>
    <w:pPr>
      <w:tabs>
        <w:tab w:val="left" w:pos="360"/>
        <w:tab w:val="left" w:pos="720"/>
        <w:tab w:val="left" w:pos="1080"/>
      </w:tabs>
      <w:spacing w:before="120" w:line="288" w:lineRule="auto"/>
    </w:pPr>
    <w:rPr>
      <w:rFonts w:ascii="Arial" w:eastAsia="Times" w:hAnsi="Arial"/>
      <w:sz w:val="20"/>
      <w:szCs w:val="20"/>
      <w:lang w:val="en-GB" w:eastAsia="en-US"/>
    </w:rPr>
  </w:style>
  <w:style w:type="paragraph" w:styleId="Intestazione">
    <w:name w:val="header"/>
    <w:basedOn w:val="Normale"/>
    <w:semiHidden/>
    <w:rsid w:val="008D0C69"/>
    <w:pPr>
      <w:tabs>
        <w:tab w:val="left" w:pos="360"/>
        <w:tab w:val="left" w:pos="720"/>
        <w:tab w:val="left" w:pos="1080"/>
      </w:tabs>
      <w:jc w:val="right"/>
    </w:pPr>
    <w:rPr>
      <w:rFonts w:ascii="Arial" w:eastAsia="Times" w:hAnsi="Arial"/>
      <w:color w:val="7E8B7A"/>
      <w:sz w:val="18"/>
      <w:szCs w:val="20"/>
      <w:lang w:val="en-GB" w:eastAsia="en-US"/>
    </w:rPr>
  </w:style>
  <w:style w:type="paragraph" w:styleId="Pidipagina">
    <w:name w:val="footer"/>
    <w:basedOn w:val="Normale"/>
    <w:link w:val="PidipaginaCarattere"/>
    <w:uiPriority w:val="99"/>
    <w:rsid w:val="008D0C69"/>
    <w:pPr>
      <w:tabs>
        <w:tab w:val="right" w:pos="7920"/>
      </w:tabs>
    </w:pPr>
    <w:rPr>
      <w:rFonts w:ascii="Arial" w:eastAsia="Times" w:hAnsi="Arial"/>
      <w:color w:val="808080"/>
      <w:sz w:val="18"/>
      <w:szCs w:val="20"/>
      <w:lang w:val="en-GB" w:eastAsia="en-US"/>
    </w:rPr>
  </w:style>
  <w:style w:type="paragraph" w:styleId="Testonotaapidipagina">
    <w:name w:val="footnote text"/>
    <w:basedOn w:val="Normale"/>
    <w:semiHidden/>
    <w:rsid w:val="008D0C69"/>
    <w:pPr>
      <w:ind w:left="170" w:hanging="170"/>
    </w:pPr>
    <w:rPr>
      <w:rFonts w:eastAsia="Times"/>
      <w:sz w:val="20"/>
      <w:szCs w:val="20"/>
      <w:lang w:val="en-GB" w:eastAsia="en-US"/>
    </w:rPr>
  </w:style>
  <w:style w:type="character" w:styleId="Rimandonotaapidipagina">
    <w:name w:val="footnote reference"/>
    <w:semiHidden/>
    <w:rsid w:val="008D0C69"/>
    <w:rPr>
      <w:vertAlign w:val="superscript"/>
    </w:rPr>
  </w:style>
  <w:style w:type="paragraph" w:customStyle="1" w:styleId="StyleHeading3NotItalic">
    <w:name w:val="Style Heading 3 + Not Italic"/>
    <w:basedOn w:val="Titolo3"/>
    <w:rsid w:val="008D0C69"/>
    <w:pPr>
      <w:keepLines/>
      <w:numPr>
        <w:ilvl w:val="0"/>
        <w:numId w:val="0"/>
      </w:numPr>
      <w:tabs>
        <w:tab w:val="left" w:pos="360"/>
        <w:tab w:val="num" w:pos="720"/>
        <w:tab w:val="left" w:pos="1080"/>
      </w:tabs>
      <w:spacing w:before="480" w:after="0"/>
      <w:ind w:left="720" w:hanging="720"/>
    </w:pPr>
    <w:rPr>
      <w:rFonts w:cs="Times New Roman"/>
      <w:i w:val="0"/>
      <w:kern w:val="48"/>
      <w:sz w:val="22"/>
      <w:szCs w:val="20"/>
      <w:lang w:val="en-GB" w:eastAsia="en-US"/>
    </w:rPr>
  </w:style>
  <w:style w:type="character" w:customStyle="1" w:styleId="BodytextbaseChar">
    <w:name w:val="Body text base Char"/>
    <w:rsid w:val="008D0C69"/>
    <w:rPr>
      <w:rFonts w:ascii="Arial" w:eastAsia="Times" w:hAnsi="Arial"/>
      <w:lang w:val="en-GB" w:eastAsia="en-US" w:bidi="ar-SA"/>
    </w:rPr>
  </w:style>
  <w:style w:type="character" w:customStyle="1" w:styleId="CarattereCarattere1">
    <w:name w:val="Carattere Carattere1"/>
    <w:basedOn w:val="BodytextbaseChar"/>
    <w:rsid w:val="008D0C69"/>
    <w:rPr>
      <w:rFonts w:ascii="Arial" w:eastAsia="Times" w:hAnsi="Arial"/>
      <w:lang w:val="en-GB" w:eastAsia="en-US" w:bidi="ar-SA"/>
    </w:rPr>
  </w:style>
  <w:style w:type="character" w:customStyle="1" w:styleId="CarattereCarattere">
    <w:name w:val="Carattere Carattere"/>
    <w:rsid w:val="008D0C69"/>
    <w:rPr>
      <w:rFonts w:eastAsia="Times"/>
      <w:lang w:val="en-GB" w:eastAsia="en-US" w:bidi="ar-SA"/>
    </w:rPr>
  </w:style>
  <w:style w:type="paragraph" w:styleId="NormaleWeb">
    <w:name w:val="Normal (Web)"/>
    <w:basedOn w:val="Normale"/>
    <w:semiHidden/>
    <w:rsid w:val="008D0C69"/>
    <w:pPr>
      <w:spacing w:before="100" w:after="100"/>
    </w:pPr>
    <w:rPr>
      <w:rFonts w:ascii="Arial Unicode MS" w:eastAsia="Arial Unicode MS" w:hAnsi="Arial Unicode MS"/>
      <w:sz w:val="22"/>
      <w:szCs w:val="20"/>
      <w:lang w:val="en-GB" w:eastAsia="en-GB"/>
    </w:rPr>
  </w:style>
  <w:style w:type="paragraph" w:styleId="Sommario1">
    <w:name w:val="toc 1"/>
    <w:basedOn w:val="Normale"/>
    <w:next w:val="Normale"/>
    <w:autoRedefine/>
    <w:uiPriority w:val="39"/>
    <w:rsid w:val="00CD5387"/>
    <w:pPr>
      <w:tabs>
        <w:tab w:val="right" w:leader="dot" w:pos="9628"/>
      </w:tabs>
      <w:spacing w:before="120"/>
      <w:ind w:left="567" w:hanging="567"/>
    </w:pPr>
    <w:rPr>
      <w:rFonts w:eastAsia="Times"/>
      <w:b/>
      <w:noProof/>
    </w:rPr>
  </w:style>
  <w:style w:type="paragraph" w:styleId="Sommario2">
    <w:name w:val="toc 2"/>
    <w:basedOn w:val="Normale"/>
    <w:next w:val="Normale"/>
    <w:autoRedefine/>
    <w:uiPriority w:val="39"/>
    <w:rsid w:val="008D0C69"/>
    <w:pPr>
      <w:tabs>
        <w:tab w:val="left" w:pos="1260"/>
        <w:tab w:val="right" w:leader="dot" w:pos="9628"/>
      </w:tabs>
      <w:spacing w:before="60"/>
      <w:ind w:left="1134" w:hanging="567"/>
    </w:pPr>
  </w:style>
  <w:style w:type="paragraph" w:styleId="Sommario3">
    <w:name w:val="toc 3"/>
    <w:basedOn w:val="Normale"/>
    <w:next w:val="Normale"/>
    <w:autoRedefine/>
    <w:uiPriority w:val="39"/>
    <w:rsid w:val="008D0C69"/>
    <w:pPr>
      <w:tabs>
        <w:tab w:val="left" w:pos="1440"/>
        <w:tab w:val="right" w:leader="dot" w:pos="9628"/>
      </w:tabs>
      <w:ind w:left="1871" w:hanging="737"/>
    </w:pPr>
  </w:style>
  <w:style w:type="paragraph" w:styleId="Sommario4">
    <w:name w:val="toc 4"/>
    <w:basedOn w:val="Normale"/>
    <w:next w:val="Normale"/>
    <w:autoRedefine/>
    <w:uiPriority w:val="39"/>
    <w:rsid w:val="008D0C69"/>
    <w:pPr>
      <w:tabs>
        <w:tab w:val="left" w:pos="1680"/>
        <w:tab w:val="right" w:leader="dot" w:pos="9628"/>
      </w:tabs>
      <w:ind w:left="2721" w:hanging="907"/>
    </w:pPr>
  </w:style>
  <w:style w:type="character" w:styleId="Collegamentoipertestuale">
    <w:name w:val="Hyperlink"/>
    <w:uiPriority w:val="99"/>
    <w:rsid w:val="008D0C69"/>
    <w:rPr>
      <w:color w:val="0000FF"/>
      <w:u w:val="single"/>
    </w:rPr>
  </w:style>
  <w:style w:type="character" w:styleId="Numeropagina">
    <w:name w:val="page number"/>
    <w:basedOn w:val="Carpredefinitoparagrafo"/>
    <w:semiHidden/>
    <w:rsid w:val="008D0C69"/>
  </w:style>
  <w:style w:type="paragraph" w:styleId="Corpodeltesto2">
    <w:name w:val="Body Text 2"/>
    <w:basedOn w:val="Normale"/>
    <w:semiHidden/>
    <w:rsid w:val="008D0C69"/>
    <w:rPr>
      <w:color w:val="FF0000"/>
    </w:rPr>
  </w:style>
  <w:style w:type="paragraph" w:customStyle="1" w:styleId="Default">
    <w:name w:val="Default"/>
    <w:rsid w:val="008745E6"/>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47253D"/>
    <w:rPr>
      <w:rFonts w:ascii="Arial" w:eastAsia="Times" w:hAnsi="Arial"/>
      <w:color w:val="808080"/>
      <w:sz w:val="18"/>
      <w:lang w:val="en-GB" w:eastAsia="en-US"/>
    </w:rPr>
  </w:style>
  <w:style w:type="table" w:styleId="Grigliatabella">
    <w:name w:val="Table Grid"/>
    <w:basedOn w:val="Tabellanormale"/>
    <w:uiPriority w:val="39"/>
    <w:rsid w:val="00531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A71FEB"/>
    <w:rPr>
      <w:sz w:val="24"/>
      <w:szCs w:val="24"/>
    </w:rPr>
  </w:style>
  <w:style w:type="paragraph" w:styleId="Testonormale">
    <w:name w:val="Plain Text"/>
    <w:basedOn w:val="Normale"/>
    <w:link w:val="TestonormaleCarattere"/>
    <w:semiHidden/>
    <w:rsid w:val="00F71EFD"/>
    <w:pPr>
      <w:numPr>
        <w:numId w:val="2"/>
      </w:numPr>
      <w:tabs>
        <w:tab w:val="clear" w:pos="720"/>
      </w:tabs>
      <w:spacing w:line="360" w:lineRule="auto"/>
      <w:ind w:left="0" w:firstLine="709"/>
    </w:pPr>
  </w:style>
  <w:style w:type="character" w:customStyle="1" w:styleId="TestonormaleCarattere">
    <w:name w:val="Testo normale Carattere"/>
    <w:link w:val="Testonormale"/>
    <w:semiHidden/>
    <w:rsid w:val="00F71EFD"/>
    <w:rPr>
      <w:sz w:val="24"/>
      <w:szCs w:val="24"/>
    </w:rPr>
  </w:style>
  <w:style w:type="character" w:customStyle="1" w:styleId="ParagrafoelencoCarattere">
    <w:name w:val="Paragrafo elenco Carattere"/>
    <w:aliases w:val="Lettre d'introduction Carattere,List Paragraph1 Carattere,1st level - Bullet List Paragraph Carattere,Medium Grid 1 - Accent 21 Carattere,Normal bullet 2 Carattere,Bullet list Carattere,Numbered List Carattere"/>
    <w:link w:val="Paragrafoelenco"/>
    <w:uiPriority w:val="34"/>
    <w:locked/>
    <w:rsid w:val="00AE47BD"/>
  </w:style>
  <w:style w:type="paragraph" w:styleId="Paragrafoelenco">
    <w:name w:val="List Paragraph"/>
    <w:aliases w:val="Lettre d'introduction,List Paragraph1,1st level - Bullet List Paragraph,Medium Grid 1 - Accent 21,Normal bullet 2,Bullet list,Numbered List,1st level"/>
    <w:basedOn w:val="Normale"/>
    <w:link w:val="ParagrafoelencoCarattere"/>
    <w:uiPriority w:val="34"/>
    <w:qFormat/>
    <w:rsid w:val="00AE47BD"/>
    <w:pPr>
      <w:spacing w:after="160" w:line="254" w:lineRule="auto"/>
      <w:ind w:left="720"/>
      <w:contextualSpacing/>
      <w:jc w:val="left"/>
    </w:pPr>
    <w:rPr>
      <w:sz w:val="20"/>
      <w:szCs w:val="20"/>
    </w:rPr>
  </w:style>
  <w:style w:type="paragraph" w:customStyle="1" w:styleId="titoli">
    <w:name w:val="(titoli)"/>
    <w:basedOn w:val="Normale"/>
    <w:next w:val="Normale"/>
    <w:rsid w:val="00C44673"/>
    <w:pPr>
      <w:numPr>
        <w:numId w:val="3"/>
      </w:numPr>
      <w:spacing w:before="480" w:after="120"/>
      <w:jc w:val="center"/>
      <w:outlineLvl w:val="0"/>
    </w:pPr>
    <w:rPr>
      <w:b/>
      <w:smallCaps/>
      <w:szCs w:val="20"/>
    </w:rPr>
  </w:style>
  <w:style w:type="paragraph" w:customStyle="1" w:styleId="elencoarabo">
    <w:name w:val="(elenco arabo)"/>
    <w:basedOn w:val="Normale"/>
    <w:rsid w:val="00C44673"/>
    <w:pPr>
      <w:numPr>
        <w:ilvl w:val="5"/>
        <w:numId w:val="3"/>
      </w:numPr>
      <w:tabs>
        <w:tab w:val="left" w:pos="851"/>
      </w:tabs>
      <w:spacing w:after="120"/>
      <w:contextualSpacing/>
      <w:outlineLvl w:val="5"/>
    </w:pPr>
    <w:rPr>
      <w:szCs w:val="20"/>
    </w:rPr>
  </w:style>
  <w:style w:type="paragraph" w:customStyle="1" w:styleId="elencoromano">
    <w:name w:val="(elenco romano)"/>
    <w:basedOn w:val="Normale"/>
    <w:rsid w:val="00C44673"/>
    <w:pPr>
      <w:numPr>
        <w:ilvl w:val="6"/>
        <w:numId w:val="3"/>
      </w:numPr>
      <w:tabs>
        <w:tab w:val="left" w:pos="1418"/>
      </w:tabs>
      <w:outlineLvl w:val="6"/>
    </w:pPr>
    <w:rPr>
      <w:szCs w:val="20"/>
    </w:rPr>
  </w:style>
  <w:style w:type="paragraph" w:customStyle="1" w:styleId="commi">
    <w:name w:val="(commi)"/>
    <w:basedOn w:val="Normale"/>
    <w:rsid w:val="00C44673"/>
    <w:pPr>
      <w:numPr>
        <w:ilvl w:val="4"/>
        <w:numId w:val="3"/>
      </w:numPr>
      <w:spacing w:before="120" w:after="120"/>
      <w:outlineLvl w:val="4"/>
    </w:pPr>
    <w:rPr>
      <w:szCs w:val="20"/>
    </w:rPr>
  </w:style>
  <w:style w:type="paragraph" w:customStyle="1" w:styleId="capitoli">
    <w:name w:val="(capitoli)"/>
    <w:basedOn w:val="Normale"/>
    <w:next w:val="Normale"/>
    <w:rsid w:val="00C44673"/>
    <w:pPr>
      <w:numPr>
        <w:ilvl w:val="1"/>
        <w:numId w:val="3"/>
      </w:numPr>
      <w:spacing w:after="240"/>
      <w:outlineLvl w:val="1"/>
    </w:pPr>
    <w:rPr>
      <w:b/>
      <w:szCs w:val="20"/>
    </w:rPr>
  </w:style>
  <w:style w:type="paragraph" w:customStyle="1" w:styleId="numarticoli">
    <w:name w:val="(num. articoli)"/>
    <w:basedOn w:val="Normale"/>
    <w:next w:val="nomearticoli"/>
    <w:rsid w:val="00C44673"/>
    <w:pPr>
      <w:keepNext/>
      <w:keepLines/>
      <w:numPr>
        <w:ilvl w:val="2"/>
        <w:numId w:val="3"/>
      </w:numPr>
      <w:spacing w:before="240" w:after="120"/>
      <w:jc w:val="center"/>
      <w:outlineLvl w:val="2"/>
    </w:pPr>
    <w:rPr>
      <w:i/>
      <w:szCs w:val="20"/>
    </w:rPr>
  </w:style>
  <w:style w:type="paragraph" w:customStyle="1" w:styleId="nomearticoli">
    <w:name w:val="(nome articoli)"/>
    <w:basedOn w:val="Normale"/>
    <w:next w:val="commi"/>
    <w:rsid w:val="00C44673"/>
    <w:pPr>
      <w:keepNext/>
      <w:keepLines/>
      <w:numPr>
        <w:ilvl w:val="3"/>
        <w:numId w:val="3"/>
      </w:numPr>
      <w:jc w:val="center"/>
      <w:outlineLvl w:val="3"/>
    </w:pPr>
    <w:rPr>
      <w:i/>
      <w:szCs w:val="20"/>
    </w:rPr>
  </w:style>
  <w:style w:type="paragraph" w:customStyle="1" w:styleId="elenconumeri">
    <w:name w:val="(elenco numeri)"/>
    <w:basedOn w:val="Normale"/>
    <w:rsid w:val="00C44673"/>
    <w:pPr>
      <w:numPr>
        <w:ilvl w:val="7"/>
        <w:numId w:val="3"/>
      </w:numPr>
      <w:tabs>
        <w:tab w:val="left" w:pos="1418"/>
      </w:tabs>
      <w:outlineLvl w:val="7"/>
    </w:pPr>
    <w:rPr>
      <w:szCs w:val="20"/>
    </w:rPr>
  </w:style>
  <w:style w:type="character" w:styleId="Rimandocommento">
    <w:name w:val="annotation reference"/>
    <w:basedOn w:val="Carpredefinitoparagrafo"/>
    <w:uiPriority w:val="99"/>
    <w:semiHidden/>
    <w:unhideWhenUsed/>
    <w:rsid w:val="00D91639"/>
    <w:rPr>
      <w:sz w:val="16"/>
      <w:szCs w:val="16"/>
    </w:rPr>
  </w:style>
  <w:style w:type="paragraph" w:styleId="Testocommento">
    <w:name w:val="annotation text"/>
    <w:basedOn w:val="Normale"/>
    <w:link w:val="TestocommentoCarattere"/>
    <w:uiPriority w:val="99"/>
    <w:semiHidden/>
    <w:unhideWhenUsed/>
    <w:rsid w:val="00D91639"/>
    <w:rPr>
      <w:sz w:val="20"/>
      <w:szCs w:val="20"/>
    </w:rPr>
  </w:style>
  <w:style w:type="character" w:customStyle="1" w:styleId="TestocommentoCarattere">
    <w:name w:val="Testo commento Carattere"/>
    <w:basedOn w:val="Carpredefinitoparagrafo"/>
    <w:link w:val="Testocommento"/>
    <w:uiPriority w:val="99"/>
    <w:semiHidden/>
    <w:rsid w:val="00D91639"/>
  </w:style>
  <w:style w:type="paragraph" w:styleId="Soggettocommento">
    <w:name w:val="annotation subject"/>
    <w:basedOn w:val="Testocommento"/>
    <w:next w:val="Testocommento"/>
    <w:link w:val="SoggettocommentoCarattere"/>
    <w:uiPriority w:val="99"/>
    <w:semiHidden/>
    <w:unhideWhenUsed/>
    <w:rsid w:val="00D91639"/>
    <w:rPr>
      <w:b/>
      <w:bCs/>
    </w:rPr>
  </w:style>
  <w:style w:type="character" w:customStyle="1" w:styleId="SoggettocommentoCarattere">
    <w:name w:val="Soggetto commento Carattere"/>
    <w:basedOn w:val="TestocommentoCarattere"/>
    <w:link w:val="Soggettocommento"/>
    <w:uiPriority w:val="99"/>
    <w:semiHidden/>
    <w:rsid w:val="00D91639"/>
    <w:rPr>
      <w:b/>
      <w:bCs/>
    </w:rPr>
  </w:style>
  <w:style w:type="character" w:styleId="Testosegnaposto">
    <w:name w:val="Placeholder Text"/>
    <w:basedOn w:val="Carpredefinitoparagrafo"/>
    <w:uiPriority w:val="99"/>
    <w:semiHidden/>
    <w:rsid w:val="00F24AE2"/>
    <w:rPr>
      <w:color w:val="808080"/>
    </w:rPr>
  </w:style>
  <w:style w:type="table" w:customStyle="1" w:styleId="TableNormal">
    <w:name w:val="Table Normal"/>
    <w:uiPriority w:val="2"/>
    <w:semiHidden/>
    <w:unhideWhenUsed/>
    <w:qFormat/>
    <w:rsid w:val="007433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36F"/>
    <w:pPr>
      <w:widowControl w:val="0"/>
      <w:autoSpaceDE w:val="0"/>
      <w:autoSpaceDN w:val="0"/>
      <w:jc w:val="left"/>
    </w:pPr>
    <w:rPr>
      <w:sz w:val="22"/>
      <w:szCs w:val="22"/>
      <w:lang w:val="en-US" w:eastAsia="en-US"/>
    </w:rPr>
  </w:style>
  <w:style w:type="character" w:customStyle="1" w:styleId="Titolo3Carattere">
    <w:name w:val="Titolo 3 Carattere"/>
    <w:basedOn w:val="Carpredefinitoparagrafo"/>
    <w:link w:val="Titolo3"/>
    <w:rsid w:val="00592344"/>
    <w:rPr>
      <w:rFonts w:cs="Arial"/>
      <w:b/>
      <w:bCs/>
      <w:i/>
      <w:sz w:val="24"/>
      <w:szCs w:val="24"/>
      <w:lang w:eastAsia="en-GB"/>
    </w:rPr>
  </w:style>
  <w:style w:type="character" w:customStyle="1" w:styleId="CorpodeltestoCarattere">
    <w:name w:val="Corpo del testo Carattere"/>
    <w:basedOn w:val="Carpredefinitoparagrafo"/>
    <w:link w:val="Corpodeltesto"/>
    <w:semiHidden/>
    <w:rsid w:val="00020647"/>
    <w:rPr>
      <w:rFonts w:ascii="Arial" w:eastAsia="Times" w:hAnsi="Arial"/>
      <w:lang w:val="en-GB" w:eastAsia="en-US"/>
    </w:rPr>
  </w:style>
</w:styles>
</file>

<file path=word/webSettings.xml><?xml version="1.0" encoding="utf-8"?>
<w:webSettings xmlns:r="http://schemas.openxmlformats.org/officeDocument/2006/relationships" xmlns:w="http://schemas.openxmlformats.org/wordprocessingml/2006/main">
  <w:divs>
    <w:div w:id="1782670">
      <w:bodyDiv w:val="1"/>
      <w:marLeft w:val="0"/>
      <w:marRight w:val="0"/>
      <w:marTop w:val="0"/>
      <w:marBottom w:val="0"/>
      <w:divBdr>
        <w:top w:val="none" w:sz="0" w:space="0" w:color="auto"/>
        <w:left w:val="none" w:sz="0" w:space="0" w:color="auto"/>
        <w:bottom w:val="none" w:sz="0" w:space="0" w:color="auto"/>
        <w:right w:val="none" w:sz="0" w:space="0" w:color="auto"/>
      </w:divBdr>
    </w:div>
    <w:div w:id="1855424">
      <w:bodyDiv w:val="1"/>
      <w:marLeft w:val="0"/>
      <w:marRight w:val="0"/>
      <w:marTop w:val="0"/>
      <w:marBottom w:val="0"/>
      <w:divBdr>
        <w:top w:val="none" w:sz="0" w:space="0" w:color="auto"/>
        <w:left w:val="none" w:sz="0" w:space="0" w:color="auto"/>
        <w:bottom w:val="none" w:sz="0" w:space="0" w:color="auto"/>
        <w:right w:val="none" w:sz="0" w:space="0" w:color="auto"/>
      </w:divBdr>
    </w:div>
    <w:div w:id="14501181">
      <w:bodyDiv w:val="1"/>
      <w:marLeft w:val="0"/>
      <w:marRight w:val="0"/>
      <w:marTop w:val="0"/>
      <w:marBottom w:val="0"/>
      <w:divBdr>
        <w:top w:val="none" w:sz="0" w:space="0" w:color="auto"/>
        <w:left w:val="none" w:sz="0" w:space="0" w:color="auto"/>
        <w:bottom w:val="none" w:sz="0" w:space="0" w:color="auto"/>
        <w:right w:val="none" w:sz="0" w:space="0" w:color="auto"/>
      </w:divBdr>
    </w:div>
    <w:div w:id="30613542">
      <w:bodyDiv w:val="1"/>
      <w:marLeft w:val="0"/>
      <w:marRight w:val="0"/>
      <w:marTop w:val="0"/>
      <w:marBottom w:val="0"/>
      <w:divBdr>
        <w:top w:val="none" w:sz="0" w:space="0" w:color="auto"/>
        <w:left w:val="none" w:sz="0" w:space="0" w:color="auto"/>
        <w:bottom w:val="none" w:sz="0" w:space="0" w:color="auto"/>
        <w:right w:val="none" w:sz="0" w:space="0" w:color="auto"/>
      </w:divBdr>
    </w:div>
    <w:div w:id="50541988">
      <w:bodyDiv w:val="1"/>
      <w:marLeft w:val="0"/>
      <w:marRight w:val="0"/>
      <w:marTop w:val="0"/>
      <w:marBottom w:val="0"/>
      <w:divBdr>
        <w:top w:val="none" w:sz="0" w:space="0" w:color="auto"/>
        <w:left w:val="none" w:sz="0" w:space="0" w:color="auto"/>
        <w:bottom w:val="none" w:sz="0" w:space="0" w:color="auto"/>
        <w:right w:val="none" w:sz="0" w:space="0" w:color="auto"/>
      </w:divBdr>
    </w:div>
    <w:div w:id="148908539">
      <w:bodyDiv w:val="1"/>
      <w:marLeft w:val="0"/>
      <w:marRight w:val="0"/>
      <w:marTop w:val="0"/>
      <w:marBottom w:val="0"/>
      <w:divBdr>
        <w:top w:val="none" w:sz="0" w:space="0" w:color="auto"/>
        <w:left w:val="none" w:sz="0" w:space="0" w:color="auto"/>
        <w:bottom w:val="none" w:sz="0" w:space="0" w:color="auto"/>
        <w:right w:val="none" w:sz="0" w:space="0" w:color="auto"/>
      </w:divBdr>
    </w:div>
    <w:div w:id="174078594">
      <w:bodyDiv w:val="1"/>
      <w:marLeft w:val="0"/>
      <w:marRight w:val="0"/>
      <w:marTop w:val="0"/>
      <w:marBottom w:val="0"/>
      <w:divBdr>
        <w:top w:val="none" w:sz="0" w:space="0" w:color="auto"/>
        <w:left w:val="none" w:sz="0" w:space="0" w:color="auto"/>
        <w:bottom w:val="none" w:sz="0" w:space="0" w:color="auto"/>
        <w:right w:val="none" w:sz="0" w:space="0" w:color="auto"/>
      </w:divBdr>
    </w:div>
    <w:div w:id="176041287">
      <w:bodyDiv w:val="1"/>
      <w:marLeft w:val="0"/>
      <w:marRight w:val="0"/>
      <w:marTop w:val="0"/>
      <w:marBottom w:val="0"/>
      <w:divBdr>
        <w:top w:val="none" w:sz="0" w:space="0" w:color="auto"/>
        <w:left w:val="none" w:sz="0" w:space="0" w:color="auto"/>
        <w:bottom w:val="none" w:sz="0" w:space="0" w:color="auto"/>
        <w:right w:val="none" w:sz="0" w:space="0" w:color="auto"/>
      </w:divBdr>
    </w:div>
    <w:div w:id="210314949">
      <w:bodyDiv w:val="1"/>
      <w:marLeft w:val="0"/>
      <w:marRight w:val="0"/>
      <w:marTop w:val="0"/>
      <w:marBottom w:val="0"/>
      <w:divBdr>
        <w:top w:val="none" w:sz="0" w:space="0" w:color="auto"/>
        <w:left w:val="none" w:sz="0" w:space="0" w:color="auto"/>
        <w:bottom w:val="none" w:sz="0" w:space="0" w:color="auto"/>
        <w:right w:val="none" w:sz="0" w:space="0" w:color="auto"/>
      </w:divBdr>
    </w:div>
    <w:div w:id="306279159">
      <w:bodyDiv w:val="1"/>
      <w:marLeft w:val="0"/>
      <w:marRight w:val="0"/>
      <w:marTop w:val="0"/>
      <w:marBottom w:val="0"/>
      <w:divBdr>
        <w:top w:val="none" w:sz="0" w:space="0" w:color="auto"/>
        <w:left w:val="none" w:sz="0" w:space="0" w:color="auto"/>
        <w:bottom w:val="none" w:sz="0" w:space="0" w:color="auto"/>
        <w:right w:val="none" w:sz="0" w:space="0" w:color="auto"/>
      </w:divBdr>
    </w:div>
    <w:div w:id="324670447">
      <w:bodyDiv w:val="1"/>
      <w:marLeft w:val="0"/>
      <w:marRight w:val="0"/>
      <w:marTop w:val="0"/>
      <w:marBottom w:val="0"/>
      <w:divBdr>
        <w:top w:val="none" w:sz="0" w:space="0" w:color="auto"/>
        <w:left w:val="none" w:sz="0" w:space="0" w:color="auto"/>
        <w:bottom w:val="none" w:sz="0" w:space="0" w:color="auto"/>
        <w:right w:val="none" w:sz="0" w:space="0" w:color="auto"/>
      </w:divBdr>
    </w:div>
    <w:div w:id="338123059">
      <w:bodyDiv w:val="1"/>
      <w:marLeft w:val="0"/>
      <w:marRight w:val="0"/>
      <w:marTop w:val="0"/>
      <w:marBottom w:val="0"/>
      <w:divBdr>
        <w:top w:val="none" w:sz="0" w:space="0" w:color="auto"/>
        <w:left w:val="none" w:sz="0" w:space="0" w:color="auto"/>
        <w:bottom w:val="none" w:sz="0" w:space="0" w:color="auto"/>
        <w:right w:val="none" w:sz="0" w:space="0" w:color="auto"/>
      </w:divBdr>
    </w:div>
    <w:div w:id="351953855">
      <w:bodyDiv w:val="1"/>
      <w:marLeft w:val="0"/>
      <w:marRight w:val="0"/>
      <w:marTop w:val="0"/>
      <w:marBottom w:val="0"/>
      <w:divBdr>
        <w:top w:val="none" w:sz="0" w:space="0" w:color="auto"/>
        <w:left w:val="none" w:sz="0" w:space="0" w:color="auto"/>
        <w:bottom w:val="none" w:sz="0" w:space="0" w:color="auto"/>
        <w:right w:val="none" w:sz="0" w:space="0" w:color="auto"/>
      </w:divBdr>
    </w:div>
    <w:div w:id="453135192">
      <w:bodyDiv w:val="1"/>
      <w:marLeft w:val="0"/>
      <w:marRight w:val="0"/>
      <w:marTop w:val="0"/>
      <w:marBottom w:val="0"/>
      <w:divBdr>
        <w:top w:val="none" w:sz="0" w:space="0" w:color="auto"/>
        <w:left w:val="none" w:sz="0" w:space="0" w:color="auto"/>
        <w:bottom w:val="none" w:sz="0" w:space="0" w:color="auto"/>
        <w:right w:val="none" w:sz="0" w:space="0" w:color="auto"/>
      </w:divBdr>
    </w:div>
    <w:div w:id="474876213">
      <w:bodyDiv w:val="1"/>
      <w:marLeft w:val="0"/>
      <w:marRight w:val="0"/>
      <w:marTop w:val="0"/>
      <w:marBottom w:val="0"/>
      <w:divBdr>
        <w:top w:val="none" w:sz="0" w:space="0" w:color="auto"/>
        <w:left w:val="none" w:sz="0" w:space="0" w:color="auto"/>
        <w:bottom w:val="none" w:sz="0" w:space="0" w:color="auto"/>
        <w:right w:val="none" w:sz="0" w:space="0" w:color="auto"/>
      </w:divBdr>
    </w:div>
    <w:div w:id="505169958">
      <w:bodyDiv w:val="1"/>
      <w:marLeft w:val="0"/>
      <w:marRight w:val="0"/>
      <w:marTop w:val="0"/>
      <w:marBottom w:val="0"/>
      <w:divBdr>
        <w:top w:val="none" w:sz="0" w:space="0" w:color="auto"/>
        <w:left w:val="none" w:sz="0" w:space="0" w:color="auto"/>
        <w:bottom w:val="none" w:sz="0" w:space="0" w:color="auto"/>
        <w:right w:val="none" w:sz="0" w:space="0" w:color="auto"/>
      </w:divBdr>
    </w:div>
    <w:div w:id="566384792">
      <w:bodyDiv w:val="1"/>
      <w:marLeft w:val="0"/>
      <w:marRight w:val="0"/>
      <w:marTop w:val="0"/>
      <w:marBottom w:val="0"/>
      <w:divBdr>
        <w:top w:val="none" w:sz="0" w:space="0" w:color="auto"/>
        <w:left w:val="none" w:sz="0" w:space="0" w:color="auto"/>
        <w:bottom w:val="none" w:sz="0" w:space="0" w:color="auto"/>
        <w:right w:val="none" w:sz="0" w:space="0" w:color="auto"/>
      </w:divBdr>
    </w:div>
    <w:div w:id="567694516">
      <w:bodyDiv w:val="1"/>
      <w:marLeft w:val="0"/>
      <w:marRight w:val="0"/>
      <w:marTop w:val="0"/>
      <w:marBottom w:val="0"/>
      <w:divBdr>
        <w:top w:val="none" w:sz="0" w:space="0" w:color="auto"/>
        <w:left w:val="none" w:sz="0" w:space="0" w:color="auto"/>
        <w:bottom w:val="none" w:sz="0" w:space="0" w:color="auto"/>
        <w:right w:val="none" w:sz="0" w:space="0" w:color="auto"/>
      </w:divBdr>
    </w:div>
    <w:div w:id="570894000">
      <w:bodyDiv w:val="1"/>
      <w:marLeft w:val="0"/>
      <w:marRight w:val="0"/>
      <w:marTop w:val="0"/>
      <w:marBottom w:val="0"/>
      <w:divBdr>
        <w:top w:val="none" w:sz="0" w:space="0" w:color="auto"/>
        <w:left w:val="none" w:sz="0" w:space="0" w:color="auto"/>
        <w:bottom w:val="none" w:sz="0" w:space="0" w:color="auto"/>
        <w:right w:val="none" w:sz="0" w:space="0" w:color="auto"/>
      </w:divBdr>
    </w:div>
    <w:div w:id="579216204">
      <w:bodyDiv w:val="1"/>
      <w:marLeft w:val="0"/>
      <w:marRight w:val="0"/>
      <w:marTop w:val="0"/>
      <w:marBottom w:val="0"/>
      <w:divBdr>
        <w:top w:val="none" w:sz="0" w:space="0" w:color="auto"/>
        <w:left w:val="none" w:sz="0" w:space="0" w:color="auto"/>
        <w:bottom w:val="none" w:sz="0" w:space="0" w:color="auto"/>
        <w:right w:val="none" w:sz="0" w:space="0" w:color="auto"/>
      </w:divBdr>
    </w:div>
    <w:div w:id="627855636">
      <w:bodyDiv w:val="1"/>
      <w:marLeft w:val="0"/>
      <w:marRight w:val="0"/>
      <w:marTop w:val="0"/>
      <w:marBottom w:val="0"/>
      <w:divBdr>
        <w:top w:val="none" w:sz="0" w:space="0" w:color="auto"/>
        <w:left w:val="none" w:sz="0" w:space="0" w:color="auto"/>
        <w:bottom w:val="none" w:sz="0" w:space="0" w:color="auto"/>
        <w:right w:val="none" w:sz="0" w:space="0" w:color="auto"/>
      </w:divBdr>
    </w:div>
    <w:div w:id="643855871">
      <w:bodyDiv w:val="1"/>
      <w:marLeft w:val="0"/>
      <w:marRight w:val="0"/>
      <w:marTop w:val="0"/>
      <w:marBottom w:val="0"/>
      <w:divBdr>
        <w:top w:val="none" w:sz="0" w:space="0" w:color="auto"/>
        <w:left w:val="none" w:sz="0" w:space="0" w:color="auto"/>
        <w:bottom w:val="none" w:sz="0" w:space="0" w:color="auto"/>
        <w:right w:val="none" w:sz="0" w:space="0" w:color="auto"/>
      </w:divBdr>
    </w:div>
    <w:div w:id="680788044">
      <w:bodyDiv w:val="1"/>
      <w:marLeft w:val="0"/>
      <w:marRight w:val="0"/>
      <w:marTop w:val="0"/>
      <w:marBottom w:val="0"/>
      <w:divBdr>
        <w:top w:val="none" w:sz="0" w:space="0" w:color="auto"/>
        <w:left w:val="none" w:sz="0" w:space="0" w:color="auto"/>
        <w:bottom w:val="none" w:sz="0" w:space="0" w:color="auto"/>
        <w:right w:val="none" w:sz="0" w:space="0" w:color="auto"/>
      </w:divBdr>
    </w:div>
    <w:div w:id="688990729">
      <w:bodyDiv w:val="1"/>
      <w:marLeft w:val="0"/>
      <w:marRight w:val="0"/>
      <w:marTop w:val="0"/>
      <w:marBottom w:val="0"/>
      <w:divBdr>
        <w:top w:val="none" w:sz="0" w:space="0" w:color="auto"/>
        <w:left w:val="none" w:sz="0" w:space="0" w:color="auto"/>
        <w:bottom w:val="none" w:sz="0" w:space="0" w:color="auto"/>
        <w:right w:val="none" w:sz="0" w:space="0" w:color="auto"/>
      </w:divBdr>
    </w:div>
    <w:div w:id="697239369">
      <w:bodyDiv w:val="1"/>
      <w:marLeft w:val="0"/>
      <w:marRight w:val="0"/>
      <w:marTop w:val="0"/>
      <w:marBottom w:val="0"/>
      <w:divBdr>
        <w:top w:val="none" w:sz="0" w:space="0" w:color="auto"/>
        <w:left w:val="none" w:sz="0" w:space="0" w:color="auto"/>
        <w:bottom w:val="none" w:sz="0" w:space="0" w:color="auto"/>
        <w:right w:val="none" w:sz="0" w:space="0" w:color="auto"/>
      </w:divBdr>
    </w:div>
    <w:div w:id="726031477">
      <w:bodyDiv w:val="1"/>
      <w:marLeft w:val="0"/>
      <w:marRight w:val="0"/>
      <w:marTop w:val="0"/>
      <w:marBottom w:val="0"/>
      <w:divBdr>
        <w:top w:val="none" w:sz="0" w:space="0" w:color="auto"/>
        <w:left w:val="none" w:sz="0" w:space="0" w:color="auto"/>
        <w:bottom w:val="none" w:sz="0" w:space="0" w:color="auto"/>
        <w:right w:val="none" w:sz="0" w:space="0" w:color="auto"/>
      </w:divBdr>
    </w:div>
    <w:div w:id="731923049">
      <w:bodyDiv w:val="1"/>
      <w:marLeft w:val="0"/>
      <w:marRight w:val="0"/>
      <w:marTop w:val="0"/>
      <w:marBottom w:val="0"/>
      <w:divBdr>
        <w:top w:val="none" w:sz="0" w:space="0" w:color="auto"/>
        <w:left w:val="none" w:sz="0" w:space="0" w:color="auto"/>
        <w:bottom w:val="none" w:sz="0" w:space="0" w:color="auto"/>
        <w:right w:val="none" w:sz="0" w:space="0" w:color="auto"/>
      </w:divBdr>
    </w:div>
    <w:div w:id="782068744">
      <w:bodyDiv w:val="1"/>
      <w:marLeft w:val="0"/>
      <w:marRight w:val="0"/>
      <w:marTop w:val="0"/>
      <w:marBottom w:val="0"/>
      <w:divBdr>
        <w:top w:val="none" w:sz="0" w:space="0" w:color="auto"/>
        <w:left w:val="none" w:sz="0" w:space="0" w:color="auto"/>
        <w:bottom w:val="none" w:sz="0" w:space="0" w:color="auto"/>
        <w:right w:val="none" w:sz="0" w:space="0" w:color="auto"/>
      </w:divBdr>
    </w:div>
    <w:div w:id="792484383">
      <w:bodyDiv w:val="1"/>
      <w:marLeft w:val="0"/>
      <w:marRight w:val="0"/>
      <w:marTop w:val="0"/>
      <w:marBottom w:val="0"/>
      <w:divBdr>
        <w:top w:val="none" w:sz="0" w:space="0" w:color="auto"/>
        <w:left w:val="none" w:sz="0" w:space="0" w:color="auto"/>
        <w:bottom w:val="none" w:sz="0" w:space="0" w:color="auto"/>
        <w:right w:val="none" w:sz="0" w:space="0" w:color="auto"/>
      </w:divBdr>
    </w:div>
    <w:div w:id="793523537">
      <w:bodyDiv w:val="1"/>
      <w:marLeft w:val="0"/>
      <w:marRight w:val="0"/>
      <w:marTop w:val="0"/>
      <w:marBottom w:val="0"/>
      <w:divBdr>
        <w:top w:val="none" w:sz="0" w:space="0" w:color="auto"/>
        <w:left w:val="none" w:sz="0" w:space="0" w:color="auto"/>
        <w:bottom w:val="none" w:sz="0" w:space="0" w:color="auto"/>
        <w:right w:val="none" w:sz="0" w:space="0" w:color="auto"/>
      </w:divBdr>
    </w:div>
    <w:div w:id="819998754">
      <w:bodyDiv w:val="1"/>
      <w:marLeft w:val="0"/>
      <w:marRight w:val="0"/>
      <w:marTop w:val="0"/>
      <w:marBottom w:val="0"/>
      <w:divBdr>
        <w:top w:val="none" w:sz="0" w:space="0" w:color="auto"/>
        <w:left w:val="none" w:sz="0" w:space="0" w:color="auto"/>
        <w:bottom w:val="none" w:sz="0" w:space="0" w:color="auto"/>
        <w:right w:val="none" w:sz="0" w:space="0" w:color="auto"/>
      </w:divBdr>
    </w:div>
    <w:div w:id="851994855">
      <w:bodyDiv w:val="1"/>
      <w:marLeft w:val="0"/>
      <w:marRight w:val="0"/>
      <w:marTop w:val="0"/>
      <w:marBottom w:val="0"/>
      <w:divBdr>
        <w:top w:val="none" w:sz="0" w:space="0" w:color="auto"/>
        <w:left w:val="none" w:sz="0" w:space="0" w:color="auto"/>
        <w:bottom w:val="none" w:sz="0" w:space="0" w:color="auto"/>
        <w:right w:val="none" w:sz="0" w:space="0" w:color="auto"/>
      </w:divBdr>
    </w:div>
    <w:div w:id="870191971">
      <w:bodyDiv w:val="1"/>
      <w:marLeft w:val="0"/>
      <w:marRight w:val="0"/>
      <w:marTop w:val="0"/>
      <w:marBottom w:val="0"/>
      <w:divBdr>
        <w:top w:val="none" w:sz="0" w:space="0" w:color="auto"/>
        <w:left w:val="none" w:sz="0" w:space="0" w:color="auto"/>
        <w:bottom w:val="none" w:sz="0" w:space="0" w:color="auto"/>
        <w:right w:val="none" w:sz="0" w:space="0" w:color="auto"/>
      </w:divBdr>
    </w:div>
    <w:div w:id="870528824">
      <w:bodyDiv w:val="1"/>
      <w:marLeft w:val="0"/>
      <w:marRight w:val="0"/>
      <w:marTop w:val="0"/>
      <w:marBottom w:val="0"/>
      <w:divBdr>
        <w:top w:val="none" w:sz="0" w:space="0" w:color="auto"/>
        <w:left w:val="none" w:sz="0" w:space="0" w:color="auto"/>
        <w:bottom w:val="none" w:sz="0" w:space="0" w:color="auto"/>
        <w:right w:val="none" w:sz="0" w:space="0" w:color="auto"/>
      </w:divBdr>
    </w:div>
    <w:div w:id="873005280">
      <w:bodyDiv w:val="1"/>
      <w:marLeft w:val="0"/>
      <w:marRight w:val="0"/>
      <w:marTop w:val="0"/>
      <w:marBottom w:val="0"/>
      <w:divBdr>
        <w:top w:val="none" w:sz="0" w:space="0" w:color="auto"/>
        <w:left w:val="none" w:sz="0" w:space="0" w:color="auto"/>
        <w:bottom w:val="none" w:sz="0" w:space="0" w:color="auto"/>
        <w:right w:val="none" w:sz="0" w:space="0" w:color="auto"/>
      </w:divBdr>
    </w:div>
    <w:div w:id="954865971">
      <w:bodyDiv w:val="1"/>
      <w:marLeft w:val="0"/>
      <w:marRight w:val="0"/>
      <w:marTop w:val="0"/>
      <w:marBottom w:val="0"/>
      <w:divBdr>
        <w:top w:val="none" w:sz="0" w:space="0" w:color="auto"/>
        <w:left w:val="none" w:sz="0" w:space="0" w:color="auto"/>
        <w:bottom w:val="none" w:sz="0" w:space="0" w:color="auto"/>
        <w:right w:val="none" w:sz="0" w:space="0" w:color="auto"/>
      </w:divBdr>
    </w:div>
    <w:div w:id="998192631">
      <w:bodyDiv w:val="1"/>
      <w:marLeft w:val="0"/>
      <w:marRight w:val="0"/>
      <w:marTop w:val="0"/>
      <w:marBottom w:val="0"/>
      <w:divBdr>
        <w:top w:val="none" w:sz="0" w:space="0" w:color="auto"/>
        <w:left w:val="none" w:sz="0" w:space="0" w:color="auto"/>
        <w:bottom w:val="none" w:sz="0" w:space="0" w:color="auto"/>
        <w:right w:val="none" w:sz="0" w:space="0" w:color="auto"/>
      </w:divBdr>
    </w:div>
    <w:div w:id="1134831017">
      <w:bodyDiv w:val="1"/>
      <w:marLeft w:val="0"/>
      <w:marRight w:val="0"/>
      <w:marTop w:val="0"/>
      <w:marBottom w:val="0"/>
      <w:divBdr>
        <w:top w:val="none" w:sz="0" w:space="0" w:color="auto"/>
        <w:left w:val="none" w:sz="0" w:space="0" w:color="auto"/>
        <w:bottom w:val="none" w:sz="0" w:space="0" w:color="auto"/>
        <w:right w:val="none" w:sz="0" w:space="0" w:color="auto"/>
      </w:divBdr>
    </w:div>
    <w:div w:id="1188517492">
      <w:bodyDiv w:val="1"/>
      <w:marLeft w:val="0"/>
      <w:marRight w:val="0"/>
      <w:marTop w:val="0"/>
      <w:marBottom w:val="0"/>
      <w:divBdr>
        <w:top w:val="none" w:sz="0" w:space="0" w:color="auto"/>
        <w:left w:val="none" w:sz="0" w:space="0" w:color="auto"/>
        <w:bottom w:val="none" w:sz="0" w:space="0" w:color="auto"/>
        <w:right w:val="none" w:sz="0" w:space="0" w:color="auto"/>
      </w:divBdr>
    </w:div>
    <w:div w:id="1206066551">
      <w:bodyDiv w:val="1"/>
      <w:marLeft w:val="0"/>
      <w:marRight w:val="0"/>
      <w:marTop w:val="0"/>
      <w:marBottom w:val="0"/>
      <w:divBdr>
        <w:top w:val="none" w:sz="0" w:space="0" w:color="auto"/>
        <w:left w:val="none" w:sz="0" w:space="0" w:color="auto"/>
        <w:bottom w:val="none" w:sz="0" w:space="0" w:color="auto"/>
        <w:right w:val="none" w:sz="0" w:space="0" w:color="auto"/>
      </w:divBdr>
    </w:div>
    <w:div w:id="1215972170">
      <w:bodyDiv w:val="1"/>
      <w:marLeft w:val="0"/>
      <w:marRight w:val="0"/>
      <w:marTop w:val="0"/>
      <w:marBottom w:val="0"/>
      <w:divBdr>
        <w:top w:val="none" w:sz="0" w:space="0" w:color="auto"/>
        <w:left w:val="none" w:sz="0" w:space="0" w:color="auto"/>
        <w:bottom w:val="none" w:sz="0" w:space="0" w:color="auto"/>
        <w:right w:val="none" w:sz="0" w:space="0" w:color="auto"/>
      </w:divBdr>
    </w:div>
    <w:div w:id="1221863529">
      <w:bodyDiv w:val="1"/>
      <w:marLeft w:val="0"/>
      <w:marRight w:val="0"/>
      <w:marTop w:val="0"/>
      <w:marBottom w:val="0"/>
      <w:divBdr>
        <w:top w:val="none" w:sz="0" w:space="0" w:color="auto"/>
        <w:left w:val="none" w:sz="0" w:space="0" w:color="auto"/>
        <w:bottom w:val="none" w:sz="0" w:space="0" w:color="auto"/>
        <w:right w:val="none" w:sz="0" w:space="0" w:color="auto"/>
      </w:divBdr>
    </w:div>
    <w:div w:id="1250037581">
      <w:bodyDiv w:val="1"/>
      <w:marLeft w:val="0"/>
      <w:marRight w:val="0"/>
      <w:marTop w:val="0"/>
      <w:marBottom w:val="0"/>
      <w:divBdr>
        <w:top w:val="none" w:sz="0" w:space="0" w:color="auto"/>
        <w:left w:val="none" w:sz="0" w:space="0" w:color="auto"/>
        <w:bottom w:val="none" w:sz="0" w:space="0" w:color="auto"/>
        <w:right w:val="none" w:sz="0" w:space="0" w:color="auto"/>
      </w:divBdr>
    </w:div>
    <w:div w:id="1251236640">
      <w:bodyDiv w:val="1"/>
      <w:marLeft w:val="0"/>
      <w:marRight w:val="0"/>
      <w:marTop w:val="0"/>
      <w:marBottom w:val="0"/>
      <w:divBdr>
        <w:top w:val="none" w:sz="0" w:space="0" w:color="auto"/>
        <w:left w:val="none" w:sz="0" w:space="0" w:color="auto"/>
        <w:bottom w:val="none" w:sz="0" w:space="0" w:color="auto"/>
        <w:right w:val="none" w:sz="0" w:space="0" w:color="auto"/>
      </w:divBdr>
    </w:div>
    <w:div w:id="1296568266">
      <w:bodyDiv w:val="1"/>
      <w:marLeft w:val="0"/>
      <w:marRight w:val="0"/>
      <w:marTop w:val="0"/>
      <w:marBottom w:val="0"/>
      <w:divBdr>
        <w:top w:val="none" w:sz="0" w:space="0" w:color="auto"/>
        <w:left w:val="none" w:sz="0" w:space="0" w:color="auto"/>
        <w:bottom w:val="none" w:sz="0" w:space="0" w:color="auto"/>
        <w:right w:val="none" w:sz="0" w:space="0" w:color="auto"/>
      </w:divBdr>
    </w:div>
    <w:div w:id="1314680784">
      <w:bodyDiv w:val="1"/>
      <w:marLeft w:val="0"/>
      <w:marRight w:val="0"/>
      <w:marTop w:val="0"/>
      <w:marBottom w:val="0"/>
      <w:divBdr>
        <w:top w:val="none" w:sz="0" w:space="0" w:color="auto"/>
        <w:left w:val="none" w:sz="0" w:space="0" w:color="auto"/>
        <w:bottom w:val="none" w:sz="0" w:space="0" w:color="auto"/>
        <w:right w:val="none" w:sz="0" w:space="0" w:color="auto"/>
      </w:divBdr>
    </w:div>
    <w:div w:id="1316185637">
      <w:bodyDiv w:val="1"/>
      <w:marLeft w:val="0"/>
      <w:marRight w:val="0"/>
      <w:marTop w:val="0"/>
      <w:marBottom w:val="0"/>
      <w:divBdr>
        <w:top w:val="none" w:sz="0" w:space="0" w:color="auto"/>
        <w:left w:val="none" w:sz="0" w:space="0" w:color="auto"/>
        <w:bottom w:val="none" w:sz="0" w:space="0" w:color="auto"/>
        <w:right w:val="none" w:sz="0" w:space="0" w:color="auto"/>
      </w:divBdr>
    </w:div>
    <w:div w:id="1338464909">
      <w:bodyDiv w:val="1"/>
      <w:marLeft w:val="0"/>
      <w:marRight w:val="0"/>
      <w:marTop w:val="0"/>
      <w:marBottom w:val="0"/>
      <w:divBdr>
        <w:top w:val="none" w:sz="0" w:space="0" w:color="auto"/>
        <w:left w:val="none" w:sz="0" w:space="0" w:color="auto"/>
        <w:bottom w:val="none" w:sz="0" w:space="0" w:color="auto"/>
        <w:right w:val="none" w:sz="0" w:space="0" w:color="auto"/>
      </w:divBdr>
    </w:div>
    <w:div w:id="1353798391">
      <w:bodyDiv w:val="1"/>
      <w:marLeft w:val="0"/>
      <w:marRight w:val="0"/>
      <w:marTop w:val="0"/>
      <w:marBottom w:val="0"/>
      <w:divBdr>
        <w:top w:val="none" w:sz="0" w:space="0" w:color="auto"/>
        <w:left w:val="none" w:sz="0" w:space="0" w:color="auto"/>
        <w:bottom w:val="none" w:sz="0" w:space="0" w:color="auto"/>
        <w:right w:val="none" w:sz="0" w:space="0" w:color="auto"/>
      </w:divBdr>
    </w:div>
    <w:div w:id="1396048584">
      <w:bodyDiv w:val="1"/>
      <w:marLeft w:val="0"/>
      <w:marRight w:val="0"/>
      <w:marTop w:val="0"/>
      <w:marBottom w:val="0"/>
      <w:divBdr>
        <w:top w:val="none" w:sz="0" w:space="0" w:color="auto"/>
        <w:left w:val="none" w:sz="0" w:space="0" w:color="auto"/>
        <w:bottom w:val="none" w:sz="0" w:space="0" w:color="auto"/>
        <w:right w:val="none" w:sz="0" w:space="0" w:color="auto"/>
      </w:divBdr>
    </w:div>
    <w:div w:id="1440104205">
      <w:bodyDiv w:val="1"/>
      <w:marLeft w:val="0"/>
      <w:marRight w:val="0"/>
      <w:marTop w:val="0"/>
      <w:marBottom w:val="0"/>
      <w:divBdr>
        <w:top w:val="none" w:sz="0" w:space="0" w:color="auto"/>
        <w:left w:val="none" w:sz="0" w:space="0" w:color="auto"/>
        <w:bottom w:val="none" w:sz="0" w:space="0" w:color="auto"/>
        <w:right w:val="none" w:sz="0" w:space="0" w:color="auto"/>
      </w:divBdr>
    </w:div>
    <w:div w:id="1445807607">
      <w:bodyDiv w:val="1"/>
      <w:marLeft w:val="0"/>
      <w:marRight w:val="0"/>
      <w:marTop w:val="0"/>
      <w:marBottom w:val="0"/>
      <w:divBdr>
        <w:top w:val="none" w:sz="0" w:space="0" w:color="auto"/>
        <w:left w:val="none" w:sz="0" w:space="0" w:color="auto"/>
        <w:bottom w:val="none" w:sz="0" w:space="0" w:color="auto"/>
        <w:right w:val="none" w:sz="0" w:space="0" w:color="auto"/>
      </w:divBdr>
    </w:div>
    <w:div w:id="1478645032">
      <w:bodyDiv w:val="1"/>
      <w:marLeft w:val="0"/>
      <w:marRight w:val="0"/>
      <w:marTop w:val="0"/>
      <w:marBottom w:val="0"/>
      <w:divBdr>
        <w:top w:val="none" w:sz="0" w:space="0" w:color="auto"/>
        <w:left w:val="none" w:sz="0" w:space="0" w:color="auto"/>
        <w:bottom w:val="none" w:sz="0" w:space="0" w:color="auto"/>
        <w:right w:val="none" w:sz="0" w:space="0" w:color="auto"/>
      </w:divBdr>
    </w:div>
    <w:div w:id="1506743685">
      <w:bodyDiv w:val="1"/>
      <w:marLeft w:val="0"/>
      <w:marRight w:val="0"/>
      <w:marTop w:val="0"/>
      <w:marBottom w:val="0"/>
      <w:divBdr>
        <w:top w:val="none" w:sz="0" w:space="0" w:color="auto"/>
        <w:left w:val="none" w:sz="0" w:space="0" w:color="auto"/>
        <w:bottom w:val="none" w:sz="0" w:space="0" w:color="auto"/>
        <w:right w:val="none" w:sz="0" w:space="0" w:color="auto"/>
      </w:divBdr>
    </w:div>
    <w:div w:id="1554581332">
      <w:bodyDiv w:val="1"/>
      <w:marLeft w:val="0"/>
      <w:marRight w:val="0"/>
      <w:marTop w:val="0"/>
      <w:marBottom w:val="0"/>
      <w:divBdr>
        <w:top w:val="none" w:sz="0" w:space="0" w:color="auto"/>
        <w:left w:val="none" w:sz="0" w:space="0" w:color="auto"/>
        <w:bottom w:val="none" w:sz="0" w:space="0" w:color="auto"/>
        <w:right w:val="none" w:sz="0" w:space="0" w:color="auto"/>
      </w:divBdr>
    </w:div>
    <w:div w:id="1592082060">
      <w:bodyDiv w:val="1"/>
      <w:marLeft w:val="0"/>
      <w:marRight w:val="0"/>
      <w:marTop w:val="0"/>
      <w:marBottom w:val="0"/>
      <w:divBdr>
        <w:top w:val="none" w:sz="0" w:space="0" w:color="auto"/>
        <w:left w:val="none" w:sz="0" w:space="0" w:color="auto"/>
        <w:bottom w:val="none" w:sz="0" w:space="0" w:color="auto"/>
        <w:right w:val="none" w:sz="0" w:space="0" w:color="auto"/>
      </w:divBdr>
    </w:div>
    <w:div w:id="1610971009">
      <w:bodyDiv w:val="1"/>
      <w:marLeft w:val="0"/>
      <w:marRight w:val="0"/>
      <w:marTop w:val="0"/>
      <w:marBottom w:val="0"/>
      <w:divBdr>
        <w:top w:val="none" w:sz="0" w:space="0" w:color="auto"/>
        <w:left w:val="none" w:sz="0" w:space="0" w:color="auto"/>
        <w:bottom w:val="none" w:sz="0" w:space="0" w:color="auto"/>
        <w:right w:val="none" w:sz="0" w:space="0" w:color="auto"/>
      </w:divBdr>
    </w:div>
    <w:div w:id="1634748302">
      <w:bodyDiv w:val="1"/>
      <w:marLeft w:val="0"/>
      <w:marRight w:val="0"/>
      <w:marTop w:val="0"/>
      <w:marBottom w:val="0"/>
      <w:divBdr>
        <w:top w:val="none" w:sz="0" w:space="0" w:color="auto"/>
        <w:left w:val="none" w:sz="0" w:space="0" w:color="auto"/>
        <w:bottom w:val="none" w:sz="0" w:space="0" w:color="auto"/>
        <w:right w:val="none" w:sz="0" w:space="0" w:color="auto"/>
      </w:divBdr>
    </w:div>
    <w:div w:id="1657420259">
      <w:bodyDiv w:val="1"/>
      <w:marLeft w:val="0"/>
      <w:marRight w:val="0"/>
      <w:marTop w:val="0"/>
      <w:marBottom w:val="0"/>
      <w:divBdr>
        <w:top w:val="none" w:sz="0" w:space="0" w:color="auto"/>
        <w:left w:val="none" w:sz="0" w:space="0" w:color="auto"/>
        <w:bottom w:val="none" w:sz="0" w:space="0" w:color="auto"/>
        <w:right w:val="none" w:sz="0" w:space="0" w:color="auto"/>
      </w:divBdr>
    </w:div>
    <w:div w:id="1662543823">
      <w:bodyDiv w:val="1"/>
      <w:marLeft w:val="0"/>
      <w:marRight w:val="0"/>
      <w:marTop w:val="0"/>
      <w:marBottom w:val="0"/>
      <w:divBdr>
        <w:top w:val="none" w:sz="0" w:space="0" w:color="auto"/>
        <w:left w:val="none" w:sz="0" w:space="0" w:color="auto"/>
        <w:bottom w:val="none" w:sz="0" w:space="0" w:color="auto"/>
        <w:right w:val="none" w:sz="0" w:space="0" w:color="auto"/>
      </w:divBdr>
    </w:div>
    <w:div w:id="1690906987">
      <w:bodyDiv w:val="1"/>
      <w:marLeft w:val="0"/>
      <w:marRight w:val="0"/>
      <w:marTop w:val="0"/>
      <w:marBottom w:val="0"/>
      <w:divBdr>
        <w:top w:val="none" w:sz="0" w:space="0" w:color="auto"/>
        <w:left w:val="none" w:sz="0" w:space="0" w:color="auto"/>
        <w:bottom w:val="none" w:sz="0" w:space="0" w:color="auto"/>
        <w:right w:val="none" w:sz="0" w:space="0" w:color="auto"/>
      </w:divBdr>
    </w:div>
    <w:div w:id="1691182299">
      <w:bodyDiv w:val="1"/>
      <w:marLeft w:val="0"/>
      <w:marRight w:val="0"/>
      <w:marTop w:val="0"/>
      <w:marBottom w:val="0"/>
      <w:divBdr>
        <w:top w:val="none" w:sz="0" w:space="0" w:color="auto"/>
        <w:left w:val="none" w:sz="0" w:space="0" w:color="auto"/>
        <w:bottom w:val="none" w:sz="0" w:space="0" w:color="auto"/>
        <w:right w:val="none" w:sz="0" w:space="0" w:color="auto"/>
      </w:divBdr>
    </w:div>
    <w:div w:id="1701394367">
      <w:bodyDiv w:val="1"/>
      <w:marLeft w:val="0"/>
      <w:marRight w:val="0"/>
      <w:marTop w:val="0"/>
      <w:marBottom w:val="0"/>
      <w:divBdr>
        <w:top w:val="none" w:sz="0" w:space="0" w:color="auto"/>
        <w:left w:val="none" w:sz="0" w:space="0" w:color="auto"/>
        <w:bottom w:val="none" w:sz="0" w:space="0" w:color="auto"/>
        <w:right w:val="none" w:sz="0" w:space="0" w:color="auto"/>
      </w:divBdr>
    </w:div>
    <w:div w:id="1758600489">
      <w:bodyDiv w:val="1"/>
      <w:marLeft w:val="0"/>
      <w:marRight w:val="0"/>
      <w:marTop w:val="0"/>
      <w:marBottom w:val="0"/>
      <w:divBdr>
        <w:top w:val="none" w:sz="0" w:space="0" w:color="auto"/>
        <w:left w:val="none" w:sz="0" w:space="0" w:color="auto"/>
        <w:bottom w:val="none" w:sz="0" w:space="0" w:color="auto"/>
        <w:right w:val="none" w:sz="0" w:space="0" w:color="auto"/>
      </w:divBdr>
    </w:div>
    <w:div w:id="1768694594">
      <w:bodyDiv w:val="1"/>
      <w:marLeft w:val="0"/>
      <w:marRight w:val="0"/>
      <w:marTop w:val="0"/>
      <w:marBottom w:val="0"/>
      <w:divBdr>
        <w:top w:val="none" w:sz="0" w:space="0" w:color="auto"/>
        <w:left w:val="none" w:sz="0" w:space="0" w:color="auto"/>
        <w:bottom w:val="none" w:sz="0" w:space="0" w:color="auto"/>
        <w:right w:val="none" w:sz="0" w:space="0" w:color="auto"/>
      </w:divBdr>
    </w:div>
    <w:div w:id="1822388415">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
    <w:div w:id="1925872606">
      <w:bodyDiv w:val="1"/>
      <w:marLeft w:val="0"/>
      <w:marRight w:val="0"/>
      <w:marTop w:val="0"/>
      <w:marBottom w:val="0"/>
      <w:divBdr>
        <w:top w:val="none" w:sz="0" w:space="0" w:color="auto"/>
        <w:left w:val="none" w:sz="0" w:space="0" w:color="auto"/>
        <w:bottom w:val="none" w:sz="0" w:space="0" w:color="auto"/>
        <w:right w:val="none" w:sz="0" w:space="0" w:color="auto"/>
      </w:divBdr>
    </w:div>
    <w:div w:id="1970284917">
      <w:bodyDiv w:val="1"/>
      <w:marLeft w:val="0"/>
      <w:marRight w:val="0"/>
      <w:marTop w:val="0"/>
      <w:marBottom w:val="0"/>
      <w:divBdr>
        <w:top w:val="none" w:sz="0" w:space="0" w:color="auto"/>
        <w:left w:val="none" w:sz="0" w:space="0" w:color="auto"/>
        <w:bottom w:val="none" w:sz="0" w:space="0" w:color="auto"/>
        <w:right w:val="none" w:sz="0" w:space="0" w:color="auto"/>
      </w:divBdr>
    </w:div>
    <w:div w:id="1971397337">
      <w:bodyDiv w:val="1"/>
      <w:marLeft w:val="0"/>
      <w:marRight w:val="0"/>
      <w:marTop w:val="0"/>
      <w:marBottom w:val="0"/>
      <w:divBdr>
        <w:top w:val="none" w:sz="0" w:space="0" w:color="auto"/>
        <w:left w:val="none" w:sz="0" w:space="0" w:color="auto"/>
        <w:bottom w:val="none" w:sz="0" w:space="0" w:color="auto"/>
        <w:right w:val="none" w:sz="0" w:space="0" w:color="auto"/>
      </w:divBdr>
    </w:div>
    <w:div w:id="1980105709">
      <w:bodyDiv w:val="1"/>
      <w:marLeft w:val="0"/>
      <w:marRight w:val="0"/>
      <w:marTop w:val="0"/>
      <w:marBottom w:val="0"/>
      <w:divBdr>
        <w:top w:val="none" w:sz="0" w:space="0" w:color="auto"/>
        <w:left w:val="none" w:sz="0" w:space="0" w:color="auto"/>
        <w:bottom w:val="none" w:sz="0" w:space="0" w:color="auto"/>
        <w:right w:val="none" w:sz="0" w:space="0" w:color="auto"/>
      </w:divBdr>
    </w:div>
    <w:div w:id="2016690453">
      <w:bodyDiv w:val="1"/>
      <w:marLeft w:val="0"/>
      <w:marRight w:val="0"/>
      <w:marTop w:val="0"/>
      <w:marBottom w:val="0"/>
      <w:divBdr>
        <w:top w:val="none" w:sz="0" w:space="0" w:color="auto"/>
        <w:left w:val="none" w:sz="0" w:space="0" w:color="auto"/>
        <w:bottom w:val="none" w:sz="0" w:space="0" w:color="auto"/>
        <w:right w:val="none" w:sz="0" w:space="0" w:color="auto"/>
      </w:divBdr>
    </w:div>
    <w:div w:id="2017802275">
      <w:bodyDiv w:val="1"/>
      <w:marLeft w:val="0"/>
      <w:marRight w:val="0"/>
      <w:marTop w:val="0"/>
      <w:marBottom w:val="0"/>
      <w:divBdr>
        <w:top w:val="none" w:sz="0" w:space="0" w:color="auto"/>
        <w:left w:val="none" w:sz="0" w:space="0" w:color="auto"/>
        <w:bottom w:val="none" w:sz="0" w:space="0" w:color="auto"/>
        <w:right w:val="none" w:sz="0" w:space="0" w:color="auto"/>
      </w:divBdr>
    </w:div>
    <w:div w:id="2064788205">
      <w:bodyDiv w:val="1"/>
      <w:marLeft w:val="0"/>
      <w:marRight w:val="0"/>
      <w:marTop w:val="0"/>
      <w:marBottom w:val="0"/>
      <w:divBdr>
        <w:top w:val="none" w:sz="0" w:space="0" w:color="auto"/>
        <w:left w:val="none" w:sz="0" w:space="0" w:color="auto"/>
        <w:bottom w:val="none" w:sz="0" w:space="0" w:color="auto"/>
        <w:right w:val="none" w:sz="0" w:space="0" w:color="auto"/>
      </w:divBdr>
    </w:div>
    <w:div w:id="2067603497">
      <w:bodyDiv w:val="1"/>
      <w:marLeft w:val="0"/>
      <w:marRight w:val="0"/>
      <w:marTop w:val="0"/>
      <w:marBottom w:val="0"/>
      <w:divBdr>
        <w:top w:val="none" w:sz="0" w:space="0" w:color="auto"/>
        <w:left w:val="none" w:sz="0" w:space="0" w:color="auto"/>
        <w:bottom w:val="none" w:sz="0" w:space="0" w:color="auto"/>
        <w:right w:val="none" w:sz="0" w:space="0" w:color="auto"/>
      </w:divBdr>
    </w:div>
    <w:div w:id="2096512816">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21562291">
      <w:bodyDiv w:val="1"/>
      <w:marLeft w:val="0"/>
      <w:marRight w:val="0"/>
      <w:marTop w:val="0"/>
      <w:marBottom w:val="0"/>
      <w:divBdr>
        <w:top w:val="none" w:sz="0" w:space="0" w:color="auto"/>
        <w:left w:val="none" w:sz="0" w:space="0" w:color="auto"/>
        <w:bottom w:val="none" w:sz="0" w:space="0" w:color="auto"/>
        <w:right w:val="none" w:sz="0" w:space="0" w:color="auto"/>
      </w:divBdr>
    </w:div>
    <w:div w:id="21277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39651F103E814FA9BAD58CE3AFFA2A" ma:contentTypeVersion="13" ma:contentTypeDescription="Creare un nuovo documento." ma:contentTypeScope="" ma:versionID="4839b6808677dcbf45c4c6a022b7e3df">
  <xsd:schema xmlns:xsd="http://www.w3.org/2001/XMLSchema" xmlns:xs="http://www.w3.org/2001/XMLSchema" xmlns:p="http://schemas.microsoft.com/office/2006/metadata/properties" xmlns:ns3="cdad3bc2-ef9b-4068-969b-2d8d6a25f72c" xmlns:ns4="16a79fd4-a138-47a0-b901-4e63aae9dbd7" targetNamespace="http://schemas.microsoft.com/office/2006/metadata/properties" ma:root="true" ma:fieldsID="315ceef792c9b824201c00744a3477ce" ns3:_="" ns4:_="">
    <xsd:import namespace="cdad3bc2-ef9b-4068-969b-2d8d6a25f72c"/>
    <xsd:import namespace="16a79fd4-a138-47a0-b901-4e63aae9d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3bc2-ef9b-4068-969b-2d8d6a25f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79fd4-a138-47a0-b901-4e63aae9dbd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4E3C-600D-49F8-9803-5536DB51D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E5E1B-7C22-42CD-8A94-992910051826}">
  <ds:schemaRefs>
    <ds:schemaRef ds:uri="http://schemas.microsoft.com/sharepoint/v3/contenttype/forms"/>
  </ds:schemaRefs>
</ds:datastoreItem>
</file>

<file path=customXml/itemProps3.xml><?xml version="1.0" encoding="utf-8"?>
<ds:datastoreItem xmlns:ds="http://schemas.openxmlformats.org/officeDocument/2006/customXml" ds:itemID="{96D52542-F3AE-43A9-A383-26A639E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3bc2-ef9b-4068-969b-2d8d6a25f72c"/>
    <ds:schemaRef ds:uri="16a79fd4-a138-47a0-b901-4e63aae9d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242EA-6969-40A5-A361-904E8DBE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4584</Words>
  <Characters>26131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Il punto di partenza</vt:lpstr>
    </vt:vector>
  </TitlesOfParts>
  <Company>.</Company>
  <LinksUpToDate>false</LinksUpToDate>
  <CharactersWithSpaces>30654</CharactersWithSpaces>
  <SharedDoc>false</SharedDoc>
  <HLinks>
    <vt:vector size="204" baseType="variant">
      <vt:variant>
        <vt:i4>1835060</vt:i4>
      </vt:variant>
      <vt:variant>
        <vt:i4>200</vt:i4>
      </vt:variant>
      <vt:variant>
        <vt:i4>0</vt:i4>
      </vt:variant>
      <vt:variant>
        <vt:i4>5</vt:i4>
      </vt:variant>
      <vt:variant>
        <vt:lpwstr/>
      </vt:variant>
      <vt:variant>
        <vt:lpwstr>_Toc381700649</vt:lpwstr>
      </vt:variant>
      <vt:variant>
        <vt:i4>1835060</vt:i4>
      </vt:variant>
      <vt:variant>
        <vt:i4>194</vt:i4>
      </vt:variant>
      <vt:variant>
        <vt:i4>0</vt:i4>
      </vt:variant>
      <vt:variant>
        <vt:i4>5</vt:i4>
      </vt:variant>
      <vt:variant>
        <vt:lpwstr/>
      </vt:variant>
      <vt:variant>
        <vt:lpwstr>_Toc381700648</vt:lpwstr>
      </vt:variant>
      <vt:variant>
        <vt:i4>1835060</vt:i4>
      </vt:variant>
      <vt:variant>
        <vt:i4>188</vt:i4>
      </vt:variant>
      <vt:variant>
        <vt:i4>0</vt:i4>
      </vt:variant>
      <vt:variant>
        <vt:i4>5</vt:i4>
      </vt:variant>
      <vt:variant>
        <vt:lpwstr/>
      </vt:variant>
      <vt:variant>
        <vt:lpwstr>_Toc381700647</vt:lpwstr>
      </vt:variant>
      <vt:variant>
        <vt:i4>1835060</vt:i4>
      </vt:variant>
      <vt:variant>
        <vt:i4>182</vt:i4>
      </vt:variant>
      <vt:variant>
        <vt:i4>0</vt:i4>
      </vt:variant>
      <vt:variant>
        <vt:i4>5</vt:i4>
      </vt:variant>
      <vt:variant>
        <vt:lpwstr/>
      </vt:variant>
      <vt:variant>
        <vt:lpwstr>_Toc381700646</vt:lpwstr>
      </vt:variant>
      <vt:variant>
        <vt:i4>1835060</vt:i4>
      </vt:variant>
      <vt:variant>
        <vt:i4>176</vt:i4>
      </vt:variant>
      <vt:variant>
        <vt:i4>0</vt:i4>
      </vt:variant>
      <vt:variant>
        <vt:i4>5</vt:i4>
      </vt:variant>
      <vt:variant>
        <vt:lpwstr/>
      </vt:variant>
      <vt:variant>
        <vt:lpwstr>_Toc381700645</vt:lpwstr>
      </vt:variant>
      <vt:variant>
        <vt:i4>1835060</vt:i4>
      </vt:variant>
      <vt:variant>
        <vt:i4>170</vt:i4>
      </vt:variant>
      <vt:variant>
        <vt:i4>0</vt:i4>
      </vt:variant>
      <vt:variant>
        <vt:i4>5</vt:i4>
      </vt:variant>
      <vt:variant>
        <vt:lpwstr/>
      </vt:variant>
      <vt:variant>
        <vt:lpwstr>_Toc381700644</vt:lpwstr>
      </vt:variant>
      <vt:variant>
        <vt:i4>1835060</vt:i4>
      </vt:variant>
      <vt:variant>
        <vt:i4>164</vt:i4>
      </vt:variant>
      <vt:variant>
        <vt:i4>0</vt:i4>
      </vt:variant>
      <vt:variant>
        <vt:i4>5</vt:i4>
      </vt:variant>
      <vt:variant>
        <vt:lpwstr/>
      </vt:variant>
      <vt:variant>
        <vt:lpwstr>_Toc381700643</vt:lpwstr>
      </vt:variant>
      <vt:variant>
        <vt:i4>1835060</vt:i4>
      </vt:variant>
      <vt:variant>
        <vt:i4>158</vt:i4>
      </vt:variant>
      <vt:variant>
        <vt:i4>0</vt:i4>
      </vt:variant>
      <vt:variant>
        <vt:i4>5</vt:i4>
      </vt:variant>
      <vt:variant>
        <vt:lpwstr/>
      </vt:variant>
      <vt:variant>
        <vt:lpwstr>_Toc381700642</vt:lpwstr>
      </vt:variant>
      <vt:variant>
        <vt:i4>1835060</vt:i4>
      </vt:variant>
      <vt:variant>
        <vt:i4>152</vt:i4>
      </vt:variant>
      <vt:variant>
        <vt:i4>0</vt:i4>
      </vt:variant>
      <vt:variant>
        <vt:i4>5</vt:i4>
      </vt:variant>
      <vt:variant>
        <vt:lpwstr/>
      </vt:variant>
      <vt:variant>
        <vt:lpwstr>_Toc381700641</vt:lpwstr>
      </vt:variant>
      <vt:variant>
        <vt:i4>1835060</vt:i4>
      </vt:variant>
      <vt:variant>
        <vt:i4>146</vt:i4>
      </vt:variant>
      <vt:variant>
        <vt:i4>0</vt:i4>
      </vt:variant>
      <vt:variant>
        <vt:i4>5</vt:i4>
      </vt:variant>
      <vt:variant>
        <vt:lpwstr/>
      </vt:variant>
      <vt:variant>
        <vt:lpwstr>_Toc381700640</vt:lpwstr>
      </vt:variant>
      <vt:variant>
        <vt:i4>1769524</vt:i4>
      </vt:variant>
      <vt:variant>
        <vt:i4>140</vt:i4>
      </vt:variant>
      <vt:variant>
        <vt:i4>0</vt:i4>
      </vt:variant>
      <vt:variant>
        <vt:i4>5</vt:i4>
      </vt:variant>
      <vt:variant>
        <vt:lpwstr/>
      </vt:variant>
      <vt:variant>
        <vt:lpwstr>_Toc381700639</vt:lpwstr>
      </vt:variant>
      <vt:variant>
        <vt:i4>1769524</vt:i4>
      </vt:variant>
      <vt:variant>
        <vt:i4>134</vt:i4>
      </vt:variant>
      <vt:variant>
        <vt:i4>0</vt:i4>
      </vt:variant>
      <vt:variant>
        <vt:i4>5</vt:i4>
      </vt:variant>
      <vt:variant>
        <vt:lpwstr/>
      </vt:variant>
      <vt:variant>
        <vt:lpwstr>_Toc381700638</vt:lpwstr>
      </vt:variant>
      <vt:variant>
        <vt:i4>1769524</vt:i4>
      </vt:variant>
      <vt:variant>
        <vt:i4>128</vt:i4>
      </vt:variant>
      <vt:variant>
        <vt:i4>0</vt:i4>
      </vt:variant>
      <vt:variant>
        <vt:i4>5</vt:i4>
      </vt:variant>
      <vt:variant>
        <vt:lpwstr/>
      </vt:variant>
      <vt:variant>
        <vt:lpwstr>_Toc381700637</vt:lpwstr>
      </vt:variant>
      <vt:variant>
        <vt:i4>1769524</vt:i4>
      </vt:variant>
      <vt:variant>
        <vt:i4>122</vt:i4>
      </vt:variant>
      <vt:variant>
        <vt:i4>0</vt:i4>
      </vt:variant>
      <vt:variant>
        <vt:i4>5</vt:i4>
      </vt:variant>
      <vt:variant>
        <vt:lpwstr/>
      </vt:variant>
      <vt:variant>
        <vt:lpwstr>_Toc381700636</vt:lpwstr>
      </vt:variant>
      <vt:variant>
        <vt:i4>1769524</vt:i4>
      </vt:variant>
      <vt:variant>
        <vt:i4>116</vt:i4>
      </vt:variant>
      <vt:variant>
        <vt:i4>0</vt:i4>
      </vt:variant>
      <vt:variant>
        <vt:i4>5</vt:i4>
      </vt:variant>
      <vt:variant>
        <vt:lpwstr/>
      </vt:variant>
      <vt:variant>
        <vt:lpwstr>_Toc381700635</vt:lpwstr>
      </vt:variant>
      <vt:variant>
        <vt:i4>1769524</vt:i4>
      </vt:variant>
      <vt:variant>
        <vt:i4>110</vt:i4>
      </vt:variant>
      <vt:variant>
        <vt:i4>0</vt:i4>
      </vt:variant>
      <vt:variant>
        <vt:i4>5</vt:i4>
      </vt:variant>
      <vt:variant>
        <vt:lpwstr/>
      </vt:variant>
      <vt:variant>
        <vt:lpwstr>_Toc381700634</vt:lpwstr>
      </vt:variant>
      <vt:variant>
        <vt:i4>1769524</vt:i4>
      </vt:variant>
      <vt:variant>
        <vt:i4>104</vt:i4>
      </vt:variant>
      <vt:variant>
        <vt:i4>0</vt:i4>
      </vt:variant>
      <vt:variant>
        <vt:i4>5</vt:i4>
      </vt:variant>
      <vt:variant>
        <vt:lpwstr/>
      </vt:variant>
      <vt:variant>
        <vt:lpwstr>_Toc381700633</vt:lpwstr>
      </vt:variant>
      <vt:variant>
        <vt:i4>1769524</vt:i4>
      </vt:variant>
      <vt:variant>
        <vt:i4>98</vt:i4>
      </vt:variant>
      <vt:variant>
        <vt:i4>0</vt:i4>
      </vt:variant>
      <vt:variant>
        <vt:i4>5</vt:i4>
      </vt:variant>
      <vt:variant>
        <vt:lpwstr/>
      </vt:variant>
      <vt:variant>
        <vt:lpwstr>_Toc381700632</vt:lpwstr>
      </vt:variant>
      <vt:variant>
        <vt:i4>1769524</vt:i4>
      </vt:variant>
      <vt:variant>
        <vt:i4>92</vt:i4>
      </vt:variant>
      <vt:variant>
        <vt:i4>0</vt:i4>
      </vt:variant>
      <vt:variant>
        <vt:i4>5</vt:i4>
      </vt:variant>
      <vt:variant>
        <vt:lpwstr/>
      </vt:variant>
      <vt:variant>
        <vt:lpwstr>_Toc381700631</vt:lpwstr>
      </vt:variant>
      <vt:variant>
        <vt:i4>1769524</vt:i4>
      </vt:variant>
      <vt:variant>
        <vt:i4>86</vt:i4>
      </vt:variant>
      <vt:variant>
        <vt:i4>0</vt:i4>
      </vt:variant>
      <vt:variant>
        <vt:i4>5</vt:i4>
      </vt:variant>
      <vt:variant>
        <vt:lpwstr/>
      </vt:variant>
      <vt:variant>
        <vt:lpwstr>_Toc381700630</vt:lpwstr>
      </vt:variant>
      <vt:variant>
        <vt:i4>1703988</vt:i4>
      </vt:variant>
      <vt:variant>
        <vt:i4>80</vt:i4>
      </vt:variant>
      <vt:variant>
        <vt:i4>0</vt:i4>
      </vt:variant>
      <vt:variant>
        <vt:i4>5</vt:i4>
      </vt:variant>
      <vt:variant>
        <vt:lpwstr/>
      </vt:variant>
      <vt:variant>
        <vt:lpwstr>_Toc381700629</vt:lpwstr>
      </vt:variant>
      <vt:variant>
        <vt:i4>1703988</vt:i4>
      </vt:variant>
      <vt:variant>
        <vt:i4>74</vt:i4>
      </vt:variant>
      <vt:variant>
        <vt:i4>0</vt:i4>
      </vt:variant>
      <vt:variant>
        <vt:i4>5</vt:i4>
      </vt:variant>
      <vt:variant>
        <vt:lpwstr/>
      </vt:variant>
      <vt:variant>
        <vt:lpwstr>_Toc381700628</vt:lpwstr>
      </vt:variant>
      <vt:variant>
        <vt:i4>1703988</vt:i4>
      </vt:variant>
      <vt:variant>
        <vt:i4>68</vt:i4>
      </vt:variant>
      <vt:variant>
        <vt:i4>0</vt:i4>
      </vt:variant>
      <vt:variant>
        <vt:i4>5</vt:i4>
      </vt:variant>
      <vt:variant>
        <vt:lpwstr/>
      </vt:variant>
      <vt:variant>
        <vt:lpwstr>_Toc381700627</vt:lpwstr>
      </vt:variant>
      <vt:variant>
        <vt:i4>1703988</vt:i4>
      </vt:variant>
      <vt:variant>
        <vt:i4>62</vt:i4>
      </vt:variant>
      <vt:variant>
        <vt:i4>0</vt:i4>
      </vt:variant>
      <vt:variant>
        <vt:i4>5</vt:i4>
      </vt:variant>
      <vt:variant>
        <vt:lpwstr/>
      </vt:variant>
      <vt:variant>
        <vt:lpwstr>_Toc381700626</vt:lpwstr>
      </vt:variant>
      <vt:variant>
        <vt:i4>1703988</vt:i4>
      </vt:variant>
      <vt:variant>
        <vt:i4>56</vt:i4>
      </vt:variant>
      <vt:variant>
        <vt:i4>0</vt:i4>
      </vt:variant>
      <vt:variant>
        <vt:i4>5</vt:i4>
      </vt:variant>
      <vt:variant>
        <vt:lpwstr/>
      </vt:variant>
      <vt:variant>
        <vt:lpwstr>_Toc381700625</vt:lpwstr>
      </vt:variant>
      <vt:variant>
        <vt:i4>1703988</vt:i4>
      </vt:variant>
      <vt:variant>
        <vt:i4>50</vt:i4>
      </vt:variant>
      <vt:variant>
        <vt:i4>0</vt:i4>
      </vt:variant>
      <vt:variant>
        <vt:i4>5</vt:i4>
      </vt:variant>
      <vt:variant>
        <vt:lpwstr/>
      </vt:variant>
      <vt:variant>
        <vt:lpwstr>_Toc381700624</vt:lpwstr>
      </vt:variant>
      <vt:variant>
        <vt:i4>1703988</vt:i4>
      </vt:variant>
      <vt:variant>
        <vt:i4>44</vt:i4>
      </vt:variant>
      <vt:variant>
        <vt:i4>0</vt:i4>
      </vt:variant>
      <vt:variant>
        <vt:i4>5</vt:i4>
      </vt:variant>
      <vt:variant>
        <vt:lpwstr/>
      </vt:variant>
      <vt:variant>
        <vt:lpwstr>_Toc381700623</vt:lpwstr>
      </vt:variant>
      <vt:variant>
        <vt:i4>1703988</vt:i4>
      </vt:variant>
      <vt:variant>
        <vt:i4>38</vt:i4>
      </vt:variant>
      <vt:variant>
        <vt:i4>0</vt:i4>
      </vt:variant>
      <vt:variant>
        <vt:i4>5</vt:i4>
      </vt:variant>
      <vt:variant>
        <vt:lpwstr/>
      </vt:variant>
      <vt:variant>
        <vt:lpwstr>_Toc381700622</vt:lpwstr>
      </vt:variant>
      <vt:variant>
        <vt:i4>1703988</vt:i4>
      </vt:variant>
      <vt:variant>
        <vt:i4>32</vt:i4>
      </vt:variant>
      <vt:variant>
        <vt:i4>0</vt:i4>
      </vt:variant>
      <vt:variant>
        <vt:i4>5</vt:i4>
      </vt:variant>
      <vt:variant>
        <vt:lpwstr/>
      </vt:variant>
      <vt:variant>
        <vt:lpwstr>_Toc381700621</vt:lpwstr>
      </vt:variant>
      <vt:variant>
        <vt:i4>1703988</vt:i4>
      </vt:variant>
      <vt:variant>
        <vt:i4>26</vt:i4>
      </vt:variant>
      <vt:variant>
        <vt:i4>0</vt:i4>
      </vt:variant>
      <vt:variant>
        <vt:i4>5</vt:i4>
      </vt:variant>
      <vt:variant>
        <vt:lpwstr/>
      </vt:variant>
      <vt:variant>
        <vt:lpwstr>_Toc381700620</vt:lpwstr>
      </vt:variant>
      <vt:variant>
        <vt:i4>1638452</vt:i4>
      </vt:variant>
      <vt:variant>
        <vt:i4>20</vt:i4>
      </vt:variant>
      <vt:variant>
        <vt:i4>0</vt:i4>
      </vt:variant>
      <vt:variant>
        <vt:i4>5</vt:i4>
      </vt:variant>
      <vt:variant>
        <vt:lpwstr/>
      </vt:variant>
      <vt:variant>
        <vt:lpwstr>_Toc381700619</vt:lpwstr>
      </vt:variant>
      <vt:variant>
        <vt:i4>1638452</vt:i4>
      </vt:variant>
      <vt:variant>
        <vt:i4>14</vt:i4>
      </vt:variant>
      <vt:variant>
        <vt:i4>0</vt:i4>
      </vt:variant>
      <vt:variant>
        <vt:i4>5</vt:i4>
      </vt:variant>
      <vt:variant>
        <vt:lpwstr/>
      </vt:variant>
      <vt:variant>
        <vt:lpwstr>_Toc381700618</vt:lpwstr>
      </vt:variant>
      <vt:variant>
        <vt:i4>1638452</vt:i4>
      </vt:variant>
      <vt:variant>
        <vt:i4>8</vt:i4>
      </vt:variant>
      <vt:variant>
        <vt:i4>0</vt:i4>
      </vt:variant>
      <vt:variant>
        <vt:i4>5</vt:i4>
      </vt:variant>
      <vt:variant>
        <vt:lpwstr/>
      </vt:variant>
      <vt:variant>
        <vt:lpwstr>_Toc381700617</vt:lpwstr>
      </vt:variant>
      <vt:variant>
        <vt:i4>1638452</vt:i4>
      </vt:variant>
      <vt:variant>
        <vt:i4>2</vt:i4>
      </vt:variant>
      <vt:variant>
        <vt:i4>0</vt:i4>
      </vt:variant>
      <vt:variant>
        <vt:i4>5</vt:i4>
      </vt:variant>
      <vt:variant>
        <vt:lpwstr/>
      </vt:variant>
      <vt:variant>
        <vt:lpwstr>_Toc381700616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punto di partenza</dc:title>
  <dc:creator>mminozzi</dc:creator>
  <cp:lastModifiedBy>Utente Windows</cp:lastModifiedBy>
  <cp:revision>27</cp:revision>
  <cp:lastPrinted>2021-06-22T12:28:00Z</cp:lastPrinted>
  <dcterms:created xsi:type="dcterms:W3CDTF">2021-06-21T16:41:00Z</dcterms:created>
  <dcterms:modified xsi:type="dcterms:W3CDTF">2021-06-22T12:28:00Z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0x010100A839651F103E814FA9BAD58CE3AFFA2A</vt:lpwstr>
  </property>
</Properties>
</file>